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240" w:lineRule="auto"/>
        <w:jc w:val="center"/>
        <w:rPr>
          <w:b w:val="1"/>
        </w:rPr>
      </w:pPr>
      <w:r w:rsidDel="00000000" w:rsidR="00000000" w:rsidRPr="00000000">
        <w:rPr>
          <w:b w:val="1"/>
          <w:rtl w:val="0"/>
        </w:rPr>
        <w:t xml:space="preserve">Směrnice o ochraně osobních údajů</w:t>
      </w:r>
    </w:p>
    <w:p w:rsidR="00000000" w:rsidDel="00000000" w:rsidP="00000000" w:rsidRDefault="00000000" w:rsidRPr="00000000" w14:paraId="00000002">
      <w:pPr>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03">
      <w:pPr>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04">
      <w:pPr>
        <w:spacing w:line="240" w:lineRule="auto"/>
        <w:jc w:val="both"/>
        <w:rPr>
          <w:i w:val="1"/>
          <w:highlight w:val="yellow"/>
        </w:rPr>
      </w:pPr>
      <w:r w:rsidDel="00000000" w:rsidR="00000000" w:rsidRPr="00000000">
        <w:rPr>
          <w:rtl w:val="0"/>
        </w:rPr>
        <w:t xml:space="preserve">Obchodní název zaměstnavatele </w:t>
      </w:r>
      <w:r w:rsidDel="00000000" w:rsidR="00000000" w:rsidRPr="00000000">
        <w:rPr>
          <w:i w:val="1"/>
          <w:highlight w:val="yellow"/>
          <w:rtl w:val="0"/>
        </w:rPr>
        <w:t xml:space="preserve">(doplňte)</w:t>
      </w:r>
    </w:p>
    <w:p w:rsidR="00000000" w:rsidDel="00000000" w:rsidP="00000000" w:rsidRDefault="00000000" w:rsidRPr="00000000" w14:paraId="00000005">
      <w:pPr>
        <w:spacing w:line="240" w:lineRule="auto"/>
        <w:jc w:val="both"/>
        <w:rPr>
          <w:i w:val="1"/>
          <w:highlight w:val="yellow"/>
        </w:rPr>
      </w:pPr>
      <w:r w:rsidDel="00000000" w:rsidR="00000000" w:rsidRPr="00000000">
        <w:rPr>
          <w:rtl w:val="0"/>
        </w:rPr>
        <w:t xml:space="preserve">sídlo zaměstnavatele </w:t>
      </w:r>
      <w:r w:rsidDel="00000000" w:rsidR="00000000" w:rsidRPr="00000000">
        <w:rPr>
          <w:i w:val="1"/>
          <w:highlight w:val="yellow"/>
          <w:rtl w:val="0"/>
        </w:rPr>
        <w:t xml:space="preserve">(doplňte)</w:t>
      </w:r>
    </w:p>
    <w:p w:rsidR="00000000" w:rsidDel="00000000" w:rsidP="00000000" w:rsidRDefault="00000000" w:rsidRPr="00000000" w14:paraId="00000006">
      <w:pPr>
        <w:spacing w:line="240" w:lineRule="auto"/>
        <w:jc w:val="both"/>
        <w:rPr>
          <w:i w:val="1"/>
          <w:highlight w:val="yellow"/>
        </w:rPr>
      </w:pPr>
      <w:r w:rsidDel="00000000" w:rsidR="00000000" w:rsidRPr="00000000">
        <w:rPr>
          <w:rtl w:val="0"/>
        </w:rPr>
        <w:t xml:space="preserve">IČ </w:t>
      </w:r>
      <w:r w:rsidDel="00000000" w:rsidR="00000000" w:rsidRPr="00000000">
        <w:rPr>
          <w:i w:val="1"/>
          <w:highlight w:val="yellow"/>
          <w:rtl w:val="0"/>
        </w:rPr>
        <w:t xml:space="preserve">(doplňte)</w:t>
      </w:r>
    </w:p>
    <w:p w:rsidR="00000000" w:rsidDel="00000000" w:rsidP="00000000" w:rsidRDefault="00000000" w:rsidRPr="00000000" w14:paraId="00000007">
      <w:pPr>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08">
      <w:pPr>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09">
      <w:pPr>
        <w:numPr>
          <w:ilvl w:val="0"/>
          <w:numId w:val="8"/>
        </w:numPr>
        <w:spacing w:after="0" w:afterAutospacing="0" w:before="240" w:line="240" w:lineRule="auto"/>
        <w:ind w:left="720" w:hanging="360"/>
        <w:jc w:val="both"/>
        <w:rPr>
          <w:b w:val="1"/>
          <w:u w:val="none"/>
        </w:rPr>
      </w:pPr>
      <w:r w:rsidDel="00000000" w:rsidR="00000000" w:rsidRPr="00000000">
        <w:rPr>
          <w:b w:val="1"/>
          <w:rtl w:val="0"/>
        </w:rPr>
        <w:t xml:space="preserve">Účel</w:t>
      </w:r>
    </w:p>
    <w:p w:rsidR="00000000" w:rsidDel="00000000" w:rsidP="00000000" w:rsidRDefault="00000000" w:rsidRPr="00000000" w14:paraId="0000000A">
      <w:pPr>
        <w:numPr>
          <w:ilvl w:val="0"/>
          <w:numId w:val="9"/>
        </w:numPr>
        <w:spacing w:line="240" w:lineRule="auto"/>
        <w:ind w:left="720" w:hanging="360"/>
        <w:jc w:val="both"/>
        <w:rPr>
          <w:u w:val="none"/>
        </w:rPr>
      </w:pPr>
      <w:r w:rsidDel="00000000" w:rsidR="00000000" w:rsidRPr="00000000">
        <w:rPr>
          <w:rtl w:val="0"/>
        </w:rPr>
        <w:t xml:space="preserve">Účelem této směrnice, jako jednoho z organizačních opatření ve smyslu čl. 32 Nařízení Evropského parlamentu a Rady (EU) 2016/679 ze dne 27. dubna 2016 (dále také GDPR), je stanovit pravidla zpracování osobních údajů zaměstnavatelem a zásady ochrany těchto údajů uplatňované na všechny informace týkající se identifikovaného nebo identifikovatelného subjektu údajů.</w:t>
      </w:r>
    </w:p>
    <w:p w:rsidR="00000000" w:rsidDel="00000000" w:rsidP="00000000" w:rsidRDefault="00000000" w:rsidRPr="00000000" w14:paraId="0000000B">
      <w:pPr>
        <w:numPr>
          <w:ilvl w:val="0"/>
          <w:numId w:val="9"/>
        </w:numPr>
        <w:spacing w:line="240" w:lineRule="auto"/>
        <w:ind w:left="720" w:hanging="360"/>
        <w:jc w:val="both"/>
        <w:rPr>
          <w:u w:val="none"/>
        </w:rPr>
      </w:pPr>
      <w:r w:rsidDel="00000000" w:rsidR="00000000" w:rsidRPr="00000000">
        <w:rPr>
          <w:rtl w:val="0"/>
        </w:rPr>
        <w:t xml:space="preserve">Tato směrnice dále upravuje postupy v případě porušení zabezpečení osobních údajů ve smyslu článku 33 a 34 GDPR a zároveň práva subjektu údajů na přístup k osobním údajům ve smyslu článku 15 GDPR.</w:t>
      </w:r>
    </w:p>
    <w:p w:rsidR="00000000" w:rsidDel="00000000" w:rsidP="00000000" w:rsidRDefault="00000000" w:rsidRPr="00000000" w14:paraId="0000000C">
      <w:pPr>
        <w:spacing w:line="240" w:lineRule="auto"/>
        <w:jc w:val="both"/>
        <w:rPr/>
      </w:pPr>
      <w:r w:rsidDel="00000000" w:rsidR="00000000" w:rsidRPr="00000000">
        <w:rPr>
          <w:rtl w:val="0"/>
        </w:rPr>
        <w:t xml:space="preserve"> </w:t>
      </w:r>
    </w:p>
    <w:p w:rsidR="00000000" w:rsidDel="00000000" w:rsidP="00000000" w:rsidRDefault="00000000" w:rsidRPr="00000000" w14:paraId="0000000D">
      <w:pPr>
        <w:spacing w:after="240" w:before="240" w:line="240" w:lineRule="auto"/>
        <w:jc w:val="both"/>
        <w:rPr/>
      </w:pPr>
      <w:r w:rsidDel="00000000" w:rsidR="00000000" w:rsidRPr="00000000">
        <w:rPr>
          <w:rtl w:val="0"/>
        </w:rPr>
        <w:t xml:space="preserve"> </w:t>
      </w:r>
    </w:p>
    <w:p w:rsidR="00000000" w:rsidDel="00000000" w:rsidP="00000000" w:rsidRDefault="00000000" w:rsidRPr="00000000" w14:paraId="0000000E">
      <w:pPr>
        <w:numPr>
          <w:ilvl w:val="0"/>
          <w:numId w:val="8"/>
        </w:numPr>
        <w:spacing w:line="240" w:lineRule="auto"/>
        <w:ind w:left="720" w:hanging="360"/>
        <w:jc w:val="both"/>
        <w:rPr>
          <w:b w:val="1"/>
          <w:u w:val="none"/>
        </w:rPr>
      </w:pPr>
      <w:r w:rsidDel="00000000" w:rsidR="00000000" w:rsidRPr="00000000">
        <w:rPr>
          <w:b w:val="1"/>
          <w:rtl w:val="0"/>
        </w:rPr>
        <w:t xml:space="preserve">Definice pojmů</w:t>
      </w:r>
    </w:p>
    <w:p w:rsidR="00000000" w:rsidDel="00000000" w:rsidP="00000000" w:rsidRDefault="00000000" w:rsidRPr="00000000" w14:paraId="0000000F">
      <w:pPr>
        <w:numPr>
          <w:ilvl w:val="0"/>
          <w:numId w:val="5"/>
        </w:numPr>
        <w:spacing w:line="240" w:lineRule="auto"/>
        <w:ind w:left="720" w:hanging="360"/>
        <w:jc w:val="both"/>
        <w:rPr>
          <w:u w:val="none"/>
        </w:rPr>
      </w:pPr>
      <w:r w:rsidDel="00000000" w:rsidR="00000000" w:rsidRPr="00000000">
        <w:rPr>
          <w:b w:val="1"/>
          <w:rtl w:val="0"/>
        </w:rPr>
        <w:t xml:space="preserve">GDPR </w:t>
      </w:r>
      <w:r w:rsidDel="00000000" w:rsidR="00000000" w:rsidRPr="00000000">
        <w:rPr>
          <w:rtl w:val="0"/>
        </w:rPr>
        <w:t xml:space="preserve">– Nařízení Evropského parlamentu a Rady (EU) č. 2016/679 ze dne 27. dubna 2016 o ochraně fyzických osob v souvislosti se zpracováním osobních údajů a o volném pohybu těchto údajů a o zrušení směrnice 95/46/ES.</w:t>
      </w:r>
    </w:p>
    <w:p w:rsidR="00000000" w:rsidDel="00000000" w:rsidP="00000000" w:rsidRDefault="00000000" w:rsidRPr="00000000" w14:paraId="00000010">
      <w:pPr>
        <w:numPr>
          <w:ilvl w:val="0"/>
          <w:numId w:val="5"/>
        </w:numPr>
        <w:spacing w:line="240" w:lineRule="auto"/>
        <w:ind w:left="720" w:hanging="360"/>
        <w:jc w:val="both"/>
        <w:rPr>
          <w:u w:val="none"/>
        </w:rPr>
      </w:pPr>
      <w:r w:rsidDel="00000000" w:rsidR="00000000" w:rsidRPr="00000000">
        <w:rPr>
          <w:b w:val="1"/>
          <w:rtl w:val="0"/>
        </w:rPr>
        <w:t xml:space="preserve">Osobní údaj - </w:t>
      </w:r>
      <w:r w:rsidDel="00000000" w:rsidR="00000000" w:rsidRPr="00000000">
        <w:rPr>
          <w:rtl w:val="0"/>
        </w:rPr>
        <w:t xml:space="preserve">Veškeré informace o identifikované nebo identifikovatelné fyzické osobě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000000" w:rsidDel="00000000" w:rsidP="00000000" w:rsidRDefault="00000000" w:rsidRPr="00000000" w14:paraId="00000011">
      <w:pPr>
        <w:numPr>
          <w:ilvl w:val="0"/>
          <w:numId w:val="5"/>
        </w:numPr>
        <w:spacing w:line="240" w:lineRule="auto"/>
        <w:ind w:left="720" w:hanging="360"/>
        <w:jc w:val="both"/>
        <w:rPr>
          <w:u w:val="none"/>
        </w:rPr>
      </w:pPr>
      <w:r w:rsidDel="00000000" w:rsidR="00000000" w:rsidRPr="00000000">
        <w:rPr>
          <w:b w:val="1"/>
          <w:rtl w:val="0"/>
        </w:rPr>
        <w:t xml:space="preserve">Dozorový úřad </w:t>
      </w:r>
      <w:r w:rsidDel="00000000" w:rsidR="00000000" w:rsidRPr="00000000">
        <w:rPr>
          <w:rtl w:val="0"/>
        </w:rPr>
        <w:t xml:space="preserve">– Úřad pro ochranu osobních údajů, pokud prováděcí předpis nestanoví jinak.</w:t>
      </w:r>
    </w:p>
    <w:p w:rsidR="00000000" w:rsidDel="00000000" w:rsidP="00000000" w:rsidRDefault="00000000" w:rsidRPr="00000000" w14:paraId="00000012">
      <w:pPr>
        <w:numPr>
          <w:ilvl w:val="0"/>
          <w:numId w:val="5"/>
        </w:numPr>
        <w:spacing w:line="240" w:lineRule="auto"/>
        <w:ind w:left="720" w:hanging="360"/>
        <w:jc w:val="both"/>
        <w:rPr>
          <w:u w:val="none"/>
        </w:rPr>
      </w:pPr>
      <w:r w:rsidDel="00000000" w:rsidR="00000000" w:rsidRPr="00000000">
        <w:rPr>
          <w:b w:val="1"/>
          <w:rtl w:val="0"/>
        </w:rPr>
        <w:t xml:space="preserve">Zaměstnavatel  </w:t>
      </w:r>
      <w:r w:rsidDel="00000000" w:rsidR="00000000" w:rsidRPr="00000000">
        <w:rPr>
          <w:rtl w:val="0"/>
        </w:rPr>
        <w:t xml:space="preserve">– Obchodní název zaměstnavatele </w:t>
      </w:r>
      <w:r w:rsidDel="00000000" w:rsidR="00000000" w:rsidRPr="00000000">
        <w:rPr>
          <w:i w:val="1"/>
          <w:highlight w:val="yellow"/>
          <w:rtl w:val="0"/>
        </w:rPr>
        <w:t xml:space="preserve">(doplňte)</w:t>
      </w:r>
    </w:p>
    <w:p w:rsidR="00000000" w:rsidDel="00000000" w:rsidP="00000000" w:rsidRDefault="00000000" w:rsidRPr="00000000" w14:paraId="00000013">
      <w:pPr>
        <w:numPr>
          <w:ilvl w:val="0"/>
          <w:numId w:val="5"/>
        </w:numPr>
        <w:spacing w:line="240" w:lineRule="auto"/>
        <w:ind w:left="720" w:hanging="360"/>
        <w:jc w:val="both"/>
        <w:rPr>
          <w:u w:val="none"/>
        </w:rPr>
      </w:pPr>
      <w:r w:rsidDel="00000000" w:rsidR="00000000" w:rsidRPr="00000000">
        <w:rPr>
          <w:b w:val="1"/>
          <w:rtl w:val="0"/>
        </w:rPr>
        <w:t xml:space="preserve">Subjekt údajů </w:t>
      </w:r>
      <w:r w:rsidDel="00000000" w:rsidR="00000000" w:rsidRPr="00000000">
        <w:rPr>
          <w:rtl w:val="0"/>
        </w:rPr>
        <w:t xml:space="preserve">– Každá fyzická osoba, včetně osob samostatně výdělečně činných.</w:t>
      </w:r>
    </w:p>
    <w:p w:rsidR="00000000" w:rsidDel="00000000" w:rsidP="00000000" w:rsidRDefault="00000000" w:rsidRPr="00000000" w14:paraId="00000014">
      <w:pPr>
        <w:numPr>
          <w:ilvl w:val="0"/>
          <w:numId w:val="5"/>
        </w:numPr>
        <w:spacing w:line="240" w:lineRule="auto"/>
        <w:ind w:left="720" w:hanging="360"/>
        <w:jc w:val="both"/>
        <w:rPr>
          <w:u w:val="none"/>
        </w:rPr>
      </w:pPr>
      <w:r w:rsidDel="00000000" w:rsidR="00000000" w:rsidRPr="00000000">
        <w:rPr>
          <w:b w:val="1"/>
          <w:rtl w:val="0"/>
        </w:rPr>
        <w:t xml:space="preserve">Oprávněná osoba </w:t>
      </w:r>
      <w:r w:rsidDel="00000000" w:rsidR="00000000" w:rsidRPr="00000000">
        <w:rPr>
          <w:rtl w:val="0"/>
        </w:rPr>
        <w:t xml:space="preserve">– Je každá osoba, včetně právnických osob, která pro zaměstnavatel vykonává takovou činnost, při které přichází do styku s osobními údaji subjektů, včetně zaměstnanců zaměstnavatel, event. členů jeho orgánů. </w:t>
      </w:r>
    </w:p>
    <w:p w:rsidR="00000000" w:rsidDel="00000000" w:rsidP="00000000" w:rsidRDefault="00000000" w:rsidRPr="00000000" w14:paraId="00000015">
      <w:pPr>
        <w:numPr>
          <w:ilvl w:val="0"/>
          <w:numId w:val="5"/>
        </w:numPr>
        <w:spacing w:line="240" w:lineRule="auto"/>
        <w:ind w:left="720" w:hanging="360"/>
        <w:jc w:val="both"/>
        <w:rPr>
          <w:u w:val="none"/>
        </w:rPr>
      </w:pPr>
      <w:r w:rsidDel="00000000" w:rsidR="00000000" w:rsidRPr="00000000">
        <w:rPr>
          <w:b w:val="1"/>
          <w:rtl w:val="0"/>
        </w:rPr>
        <w:t xml:space="preserve">Pověřená osoba </w:t>
      </w:r>
      <w:r w:rsidDel="00000000" w:rsidR="00000000" w:rsidRPr="00000000">
        <w:rPr>
          <w:rtl w:val="0"/>
        </w:rPr>
        <w:t xml:space="preserve">– Je oprávněná osoba pověřená zaměstnavatelem ke specifickým činnostem souvisejícím se zpracováním osobních údajů, zejména prevencí incidentů, zabezpečením zpracování osobních údajů, řešením stížností a žádostí, správou systémů a dalšími činnostmi. Seznam pověřených osob včetně označení jejich pověření je přílohou této směrnice.</w:t>
      </w:r>
    </w:p>
    <w:p w:rsidR="00000000" w:rsidDel="00000000" w:rsidP="00000000" w:rsidRDefault="00000000" w:rsidRPr="00000000" w14:paraId="00000016">
      <w:pPr>
        <w:numPr>
          <w:ilvl w:val="0"/>
          <w:numId w:val="5"/>
        </w:numPr>
        <w:spacing w:line="240" w:lineRule="auto"/>
        <w:ind w:left="720" w:hanging="360"/>
        <w:jc w:val="both"/>
        <w:rPr>
          <w:u w:val="none"/>
        </w:rPr>
      </w:pPr>
      <w:r w:rsidDel="00000000" w:rsidR="00000000" w:rsidRPr="00000000">
        <w:rPr>
          <w:b w:val="1"/>
          <w:rtl w:val="0"/>
        </w:rPr>
        <w:t xml:space="preserve">Zaměstnanec </w:t>
      </w:r>
      <w:r w:rsidDel="00000000" w:rsidR="00000000" w:rsidRPr="00000000">
        <w:rPr>
          <w:rtl w:val="0"/>
        </w:rPr>
        <w:t xml:space="preserve">– Fyzická osoba v pracovněprávním či jiném obdobném vztahu k  zaměstnavateli.</w:t>
      </w:r>
    </w:p>
    <w:p w:rsidR="00000000" w:rsidDel="00000000" w:rsidP="00000000" w:rsidRDefault="00000000" w:rsidRPr="00000000" w14:paraId="00000017">
      <w:pPr>
        <w:numPr>
          <w:ilvl w:val="0"/>
          <w:numId w:val="5"/>
        </w:numPr>
        <w:spacing w:line="240" w:lineRule="auto"/>
        <w:ind w:left="720" w:hanging="360"/>
        <w:jc w:val="both"/>
        <w:rPr>
          <w:u w:val="none"/>
        </w:rPr>
      </w:pPr>
      <w:r w:rsidDel="00000000" w:rsidR="00000000" w:rsidRPr="00000000">
        <w:rPr>
          <w:b w:val="1"/>
          <w:rtl w:val="0"/>
        </w:rPr>
        <w:t xml:space="preserve">Klient/zákazník</w:t>
      </w:r>
      <w:r w:rsidDel="00000000" w:rsidR="00000000" w:rsidRPr="00000000">
        <w:rPr>
          <w:rtl w:val="0"/>
        </w:rPr>
        <w:t xml:space="preserve"> (dále jen klient) – Osoba v právním vztahu se zaměstnavatelem, vůči níž má zaměstnavatel v postavení dlužníka povinnost splnit dluh.</w:t>
      </w:r>
    </w:p>
    <w:p w:rsidR="00000000" w:rsidDel="00000000" w:rsidP="00000000" w:rsidRDefault="00000000" w:rsidRPr="00000000" w14:paraId="00000018">
      <w:pPr>
        <w:numPr>
          <w:ilvl w:val="0"/>
          <w:numId w:val="5"/>
        </w:numPr>
        <w:spacing w:line="240" w:lineRule="auto"/>
        <w:ind w:left="720" w:hanging="360"/>
        <w:jc w:val="both"/>
        <w:rPr>
          <w:u w:val="none"/>
        </w:rPr>
      </w:pPr>
      <w:r w:rsidDel="00000000" w:rsidR="00000000" w:rsidRPr="00000000">
        <w:rPr>
          <w:b w:val="1"/>
          <w:rtl w:val="0"/>
        </w:rPr>
        <w:t xml:space="preserve">Dodavatel </w:t>
      </w:r>
      <w:r w:rsidDel="00000000" w:rsidR="00000000" w:rsidRPr="00000000">
        <w:rPr>
          <w:rtl w:val="0"/>
        </w:rPr>
        <w:t xml:space="preserve">– osoba v právním vztahu se zaměstnavatelem, vůči níž má zaměstnavatel v postavení věřitele právo na určité plnění (pohledávku).</w:t>
      </w:r>
    </w:p>
    <w:p w:rsidR="00000000" w:rsidDel="00000000" w:rsidP="00000000" w:rsidRDefault="00000000" w:rsidRPr="00000000" w14:paraId="00000019">
      <w:pPr>
        <w:numPr>
          <w:ilvl w:val="0"/>
          <w:numId w:val="5"/>
        </w:numPr>
        <w:spacing w:line="240" w:lineRule="auto"/>
        <w:ind w:left="720" w:hanging="360"/>
        <w:jc w:val="both"/>
        <w:rPr>
          <w:u w:val="none"/>
        </w:rPr>
      </w:pPr>
      <w:r w:rsidDel="00000000" w:rsidR="00000000" w:rsidRPr="00000000">
        <w:rPr>
          <w:b w:val="1"/>
          <w:rtl w:val="0"/>
        </w:rPr>
        <w:t xml:space="preserve">Zpracování osobních údajů </w:t>
      </w:r>
      <w:r w:rsidDel="00000000" w:rsidR="00000000" w:rsidRPr="00000000">
        <w:rPr>
          <w:rtl w:val="0"/>
        </w:rPr>
        <w:t xml:space="preserve">– Jakákoliv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rsidR="00000000" w:rsidDel="00000000" w:rsidP="00000000" w:rsidRDefault="00000000" w:rsidRPr="00000000" w14:paraId="0000001A">
      <w:pPr>
        <w:spacing w:after="240" w:before="240" w:line="240" w:lineRule="auto"/>
        <w:jc w:val="both"/>
        <w:rPr/>
      </w:pPr>
      <w:r w:rsidDel="00000000" w:rsidR="00000000" w:rsidRPr="00000000">
        <w:rPr>
          <w:rtl w:val="0"/>
        </w:rPr>
        <w:t xml:space="preserve"> </w:t>
      </w:r>
    </w:p>
    <w:p w:rsidR="00000000" w:rsidDel="00000000" w:rsidP="00000000" w:rsidRDefault="00000000" w:rsidRPr="00000000" w14:paraId="0000001B">
      <w:pPr>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1C">
      <w:pPr>
        <w:numPr>
          <w:ilvl w:val="0"/>
          <w:numId w:val="8"/>
        </w:numPr>
        <w:spacing w:line="240" w:lineRule="auto"/>
        <w:ind w:left="720" w:hanging="360"/>
        <w:jc w:val="both"/>
        <w:rPr>
          <w:b w:val="1"/>
          <w:u w:val="none"/>
        </w:rPr>
      </w:pPr>
      <w:r w:rsidDel="00000000" w:rsidR="00000000" w:rsidRPr="00000000">
        <w:rPr>
          <w:b w:val="1"/>
          <w:rtl w:val="0"/>
        </w:rPr>
        <w:t xml:space="preserve">Zásady zpracování osobních údajů</w:t>
      </w:r>
    </w:p>
    <w:p w:rsidR="00000000" w:rsidDel="00000000" w:rsidP="00000000" w:rsidRDefault="00000000" w:rsidRPr="00000000" w14:paraId="0000001D">
      <w:pPr>
        <w:numPr>
          <w:ilvl w:val="0"/>
          <w:numId w:val="8"/>
        </w:numPr>
        <w:spacing w:line="240" w:lineRule="auto"/>
        <w:ind w:left="720" w:hanging="360"/>
        <w:jc w:val="both"/>
        <w:rPr>
          <w:b w:val="1"/>
          <w:u w:val="none"/>
        </w:rPr>
      </w:pPr>
      <w:r w:rsidDel="00000000" w:rsidR="00000000" w:rsidRPr="00000000">
        <w:rPr>
          <w:rtl w:val="0"/>
        </w:rPr>
      </w:r>
    </w:p>
    <w:p w:rsidR="00000000" w:rsidDel="00000000" w:rsidP="00000000" w:rsidRDefault="00000000" w:rsidRPr="00000000" w14:paraId="0000001E">
      <w:pPr>
        <w:numPr>
          <w:ilvl w:val="0"/>
          <w:numId w:val="10"/>
        </w:numPr>
        <w:spacing w:line="240" w:lineRule="auto"/>
        <w:ind w:left="720" w:hanging="360"/>
        <w:jc w:val="both"/>
        <w:rPr>
          <w:u w:val="none"/>
        </w:rPr>
      </w:pPr>
      <w:r w:rsidDel="00000000" w:rsidR="00000000" w:rsidRPr="00000000">
        <w:rPr>
          <w:rtl w:val="0"/>
        </w:rPr>
        <w:t xml:space="preserve">Tato směrnice se vztahuje na každou oprávněnou osobu při plnění jejích povinností.</w:t>
      </w:r>
    </w:p>
    <w:p w:rsidR="00000000" w:rsidDel="00000000" w:rsidP="00000000" w:rsidRDefault="00000000" w:rsidRPr="00000000" w14:paraId="0000001F">
      <w:pPr>
        <w:numPr>
          <w:ilvl w:val="0"/>
          <w:numId w:val="10"/>
        </w:numPr>
        <w:spacing w:line="240" w:lineRule="auto"/>
        <w:ind w:left="720" w:hanging="360"/>
        <w:jc w:val="both"/>
        <w:rPr>
          <w:u w:val="none"/>
        </w:rPr>
      </w:pPr>
      <w:r w:rsidDel="00000000" w:rsidR="00000000" w:rsidRPr="00000000">
        <w:rPr>
          <w:rtl w:val="0"/>
        </w:rPr>
        <w:t xml:space="preserve">Jakékoli zpracování osobních údajů musí být prováděno zákonným, spravedlivým a transparentním způsobem.</w:t>
      </w:r>
    </w:p>
    <w:p w:rsidR="00000000" w:rsidDel="00000000" w:rsidP="00000000" w:rsidRDefault="00000000" w:rsidRPr="00000000" w14:paraId="00000020">
      <w:pPr>
        <w:numPr>
          <w:ilvl w:val="0"/>
          <w:numId w:val="10"/>
        </w:numPr>
        <w:spacing w:line="240" w:lineRule="auto"/>
        <w:ind w:left="720" w:hanging="360"/>
        <w:jc w:val="both"/>
        <w:rPr>
          <w:u w:val="none"/>
        </w:rPr>
      </w:pPr>
      <w:r w:rsidDel="00000000" w:rsidR="00000000" w:rsidRPr="00000000">
        <w:rPr>
          <w:rtl w:val="0"/>
        </w:rPr>
        <w:t xml:space="preserve">Každá oprávněná osoba musí být s touto směrnicí seznámena a na důkaz toho, že ji řádně pochopila a nemá k ní doplňující dotazy, připojí svůj podpis na podpisový arch, jehož vzor je přílohou této směrnice.</w:t>
      </w:r>
    </w:p>
    <w:p w:rsidR="00000000" w:rsidDel="00000000" w:rsidP="00000000" w:rsidRDefault="00000000" w:rsidRPr="00000000" w14:paraId="00000021">
      <w:pPr>
        <w:numPr>
          <w:ilvl w:val="0"/>
          <w:numId w:val="10"/>
        </w:numPr>
        <w:spacing w:line="240" w:lineRule="auto"/>
        <w:ind w:left="720" w:hanging="360"/>
        <w:jc w:val="both"/>
        <w:rPr>
          <w:u w:val="none"/>
        </w:rPr>
      </w:pPr>
      <w:r w:rsidDel="00000000" w:rsidR="00000000" w:rsidRPr="00000000">
        <w:rPr>
          <w:rtl w:val="0"/>
        </w:rPr>
        <w:t xml:space="preserve">Zaměstnavatel vede záznam o činnostech zpracování osobních údajů.</w:t>
      </w:r>
    </w:p>
    <w:p w:rsidR="00000000" w:rsidDel="00000000" w:rsidP="00000000" w:rsidRDefault="00000000" w:rsidRPr="00000000" w14:paraId="00000022">
      <w:pPr>
        <w:numPr>
          <w:ilvl w:val="0"/>
          <w:numId w:val="10"/>
        </w:numPr>
        <w:spacing w:after="0" w:afterAutospacing="0" w:line="240" w:lineRule="auto"/>
        <w:ind w:left="720" w:hanging="360"/>
        <w:jc w:val="both"/>
        <w:rPr>
          <w:u w:val="none"/>
        </w:rPr>
      </w:pPr>
      <w:r w:rsidDel="00000000" w:rsidR="00000000" w:rsidRPr="00000000">
        <w:rPr>
          <w:rtl w:val="0"/>
        </w:rPr>
        <w:t xml:space="preserve">Zaměstnavatel provádí kontrolu přesnosti, úplnosti a aktuálnosti osobních údajů minimálně </w:t>
      </w:r>
      <w:r w:rsidDel="00000000" w:rsidR="00000000" w:rsidRPr="00000000">
        <w:rPr>
          <w:highlight w:val="yellow"/>
          <w:rtl w:val="0"/>
        </w:rPr>
        <w:t xml:space="preserve">1 x za dva roky</w:t>
      </w:r>
      <w:r w:rsidDel="00000000" w:rsidR="00000000" w:rsidRPr="00000000">
        <w:rPr>
          <w:rtl w:val="0"/>
        </w:rPr>
        <w:t xml:space="preserve"> u klientů a dodavatelů a každý </w:t>
      </w:r>
      <w:r w:rsidDel="00000000" w:rsidR="00000000" w:rsidRPr="00000000">
        <w:rPr>
          <w:highlight w:val="yellow"/>
          <w:rtl w:val="0"/>
        </w:rPr>
        <w:t xml:space="preserve">rok</w:t>
      </w:r>
      <w:r w:rsidDel="00000000" w:rsidR="00000000" w:rsidRPr="00000000">
        <w:rPr>
          <w:rtl w:val="0"/>
        </w:rPr>
        <w:t xml:space="preserve"> u zaměstnanců.</w:t>
      </w:r>
    </w:p>
    <w:p w:rsidR="00000000" w:rsidDel="00000000" w:rsidP="00000000" w:rsidRDefault="00000000" w:rsidRPr="00000000" w14:paraId="00000023">
      <w:pPr>
        <w:numPr>
          <w:ilvl w:val="0"/>
          <w:numId w:val="10"/>
        </w:numPr>
        <w:spacing w:after="0" w:afterAutospacing="0" w:before="0" w:beforeAutospacing="0" w:line="240" w:lineRule="auto"/>
        <w:ind w:left="720" w:hanging="360"/>
        <w:jc w:val="both"/>
        <w:rPr>
          <w:u w:val="none"/>
        </w:rPr>
      </w:pPr>
      <w:r w:rsidDel="00000000" w:rsidR="00000000" w:rsidRPr="00000000">
        <w:rPr>
          <w:rtl w:val="0"/>
        </w:rPr>
        <w:t xml:space="preserve">Zaměstnavatel bude zpracovávat osobní údaje po dobu trvání smlouvy, nebo po dobu nezbytnou k plnění archivačních povinností zaměstnavatel podle platných právních předpisů, zejména zákona č. 563/1991 Sb., o účetnictví, zákona č. 235/2004 Sb., o dani z přidané hodnoty, zákona č. 582/1991 Sb., o organizaci a provádění sociálního zabezpečení, zákona č. 499/2004 Sb., o archivnictví a spisové službě, zákona č. 262/2006 Sb., zákoník práce.</w:t>
      </w:r>
    </w:p>
    <w:p w:rsidR="00000000" w:rsidDel="00000000" w:rsidP="00000000" w:rsidRDefault="00000000" w:rsidRPr="00000000" w14:paraId="00000024">
      <w:pPr>
        <w:numPr>
          <w:ilvl w:val="0"/>
          <w:numId w:val="10"/>
        </w:numPr>
        <w:spacing w:after="0" w:afterAutospacing="0" w:before="0" w:beforeAutospacing="0" w:line="240" w:lineRule="auto"/>
        <w:ind w:left="720" w:hanging="360"/>
        <w:jc w:val="both"/>
        <w:rPr>
          <w:u w:val="none"/>
        </w:rPr>
      </w:pPr>
      <w:r w:rsidDel="00000000" w:rsidR="00000000" w:rsidRPr="00000000">
        <w:rPr>
          <w:rtl w:val="0"/>
        </w:rPr>
        <w:t xml:space="preserve">Zaměstnavatel zpracovává osobní údaje jak v elektronické, tak analogové formě.</w:t>
      </w:r>
    </w:p>
    <w:p w:rsidR="00000000" w:rsidDel="00000000" w:rsidP="00000000" w:rsidRDefault="00000000" w:rsidRPr="00000000" w14:paraId="00000025">
      <w:pPr>
        <w:numPr>
          <w:ilvl w:val="0"/>
          <w:numId w:val="10"/>
        </w:numPr>
        <w:spacing w:line="240" w:lineRule="auto"/>
        <w:ind w:left="720" w:hanging="360"/>
        <w:jc w:val="both"/>
        <w:rPr>
          <w:u w:val="none"/>
        </w:rPr>
      </w:pPr>
      <w:r w:rsidDel="00000000" w:rsidR="00000000" w:rsidRPr="00000000">
        <w:rPr>
          <w:rtl w:val="0"/>
        </w:rPr>
        <w:t xml:space="preserve">Zaměstnavatel zajistí pravidelná školení oprávněných osob na zásady dodržování ochrany osobních údajů ve smyslu GDPR každých </w:t>
      </w:r>
      <w:r w:rsidDel="00000000" w:rsidR="00000000" w:rsidRPr="00000000">
        <w:rPr>
          <w:highlight w:val="yellow"/>
          <w:rtl w:val="0"/>
        </w:rPr>
        <w:t xml:space="preserve">18 měsíců</w:t>
      </w:r>
      <w:r w:rsidDel="00000000" w:rsidR="00000000" w:rsidRPr="00000000">
        <w:rPr>
          <w:rtl w:val="0"/>
        </w:rPr>
        <w:t xml:space="preserve">.</w:t>
      </w:r>
    </w:p>
    <w:p w:rsidR="00000000" w:rsidDel="00000000" w:rsidP="00000000" w:rsidRDefault="00000000" w:rsidRPr="00000000" w14:paraId="00000026">
      <w:pPr>
        <w:spacing w:after="240" w:before="240" w:line="240" w:lineRule="auto"/>
        <w:ind w:left="560" w:firstLine="0"/>
        <w:jc w:val="both"/>
        <w:rPr/>
      </w:pPr>
      <w:r w:rsidDel="00000000" w:rsidR="00000000" w:rsidRPr="00000000">
        <w:rPr>
          <w:rtl w:val="0"/>
        </w:rPr>
        <w:t xml:space="preserve"> </w:t>
      </w:r>
    </w:p>
    <w:p w:rsidR="00000000" w:rsidDel="00000000" w:rsidP="00000000" w:rsidRDefault="00000000" w:rsidRPr="00000000" w14:paraId="00000027">
      <w:pPr>
        <w:spacing w:line="240" w:lineRule="auto"/>
        <w:ind w:left="560" w:firstLine="0"/>
        <w:jc w:val="both"/>
        <w:rPr/>
      </w:pPr>
      <w:r w:rsidDel="00000000" w:rsidR="00000000" w:rsidRPr="00000000">
        <w:rPr>
          <w:rtl w:val="0"/>
        </w:rPr>
        <w:t xml:space="preserve"> </w:t>
      </w:r>
    </w:p>
    <w:p w:rsidR="00000000" w:rsidDel="00000000" w:rsidP="00000000" w:rsidRDefault="00000000" w:rsidRPr="00000000" w14:paraId="00000028">
      <w:pPr>
        <w:spacing w:line="240" w:lineRule="auto"/>
        <w:ind w:left="0" w:firstLine="0"/>
        <w:jc w:val="both"/>
        <w:rPr>
          <w:b w:val="1"/>
        </w:rPr>
      </w:pPr>
      <w:r w:rsidDel="00000000" w:rsidR="00000000" w:rsidRPr="00000000">
        <w:rPr>
          <w:b w:val="1"/>
          <w:rtl w:val="0"/>
        </w:rPr>
        <w:t xml:space="preserve">IV. </w:t>
        <w:tab/>
        <w:t xml:space="preserve">Povinnosti oprávněné osoby</w:t>
      </w:r>
    </w:p>
    <w:p w:rsidR="00000000" w:rsidDel="00000000" w:rsidP="00000000" w:rsidRDefault="00000000" w:rsidRPr="00000000" w14:paraId="00000029">
      <w:pPr>
        <w:spacing w:line="240" w:lineRule="auto"/>
        <w:ind w:left="560" w:firstLine="0"/>
        <w:jc w:val="both"/>
        <w:rPr/>
      </w:pPr>
      <w:r w:rsidDel="00000000" w:rsidR="00000000" w:rsidRPr="00000000">
        <w:rPr>
          <w:rtl w:val="0"/>
        </w:rPr>
        <w:t xml:space="preserve"> </w:t>
      </w:r>
    </w:p>
    <w:p w:rsidR="00000000" w:rsidDel="00000000" w:rsidP="00000000" w:rsidRDefault="00000000" w:rsidRPr="00000000" w14:paraId="0000002A">
      <w:pPr>
        <w:numPr>
          <w:ilvl w:val="0"/>
          <w:numId w:val="3"/>
        </w:numPr>
        <w:spacing w:line="240" w:lineRule="auto"/>
        <w:ind w:left="720" w:hanging="360"/>
        <w:jc w:val="both"/>
        <w:rPr>
          <w:u w:val="none"/>
        </w:rPr>
      </w:pPr>
      <w:r w:rsidDel="00000000" w:rsidR="00000000" w:rsidRPr="00000000">
        <w:rPr>
          <w:rtl w:val="0"/>
        </w:rPr>
        <w:t xml:space="preserve">Oprávněná osoba je povinna zpracovávat osobní údaje ve vztahu k subjektu údajů korektně a zákonným způsobem. Oprávněná osoba nesmí získané informace bez pokynu zaměstnavatel předat žádné další třetí osobě, a to ani v České republice a ani do zahraničí, tj. má povinnost mlčenlivosti.</w:t>
      </w:r>
    </w:p>
    <w:p w:rsidR="00000000" w:rsidDel="00000000" w:rsidP="00000000" w:rsidRDefault="00000000" w:rsidRPr="00000000" w14:paraId="0000002B">
      <w:pPr>
        <w:numPr>
          <w:ilvl w:val="0"/>
          <w:numId w:val="3"/>
        </w:numPr>
        <w:spacing w:line="240" w:lineRule="auto"/>
        <w:ind w:left="720" w:hanging="360"/>
        <w:jc w:val="both"/>
        <w:rPr>
          <w:u w:val="none"/>
        </w:rPr>
      </w:pPr>
      <w:r w:rsidDel="00000000" w:rsidR="00000000" w:rsidRPr="00000000">
        <w:rPr>
          <w:rtl w:val="0"/>
        </w:rPr>
        <w:t xml:space="preserve">Oprávněná osoba je povinna při získání osobních údajů od subjektu údajů informovat o tom pověřenou osobu, která subjektu údajů předá informační doložku dle GDPR, jejíž vzor je přílohou této směrnice, a zajistí její podpis.  </w:t>
      </w:r>
    </w:p>
    <w:p w:rsidR="00000000" w:rsidDel="00000000" w:rsidP="00000000" w:rsidRDefault="00000000" w:rsidRPr="00000000" w14:paraId="0000002C">
      <w:pPr>
        <w:numPr>
          <w:ilvl w:val="0"/>
          <w:numId w:val="3"/>
        </w:numPr>
        <w:spacing w:line="240" w:lineRule="auto"/>
        <w:ind w:left="720" w:hanging="360"/>
        <w:jc w:val="both"/>
        <w:rPr>
          <w:u w:val="none"/>
        </w:rPr>
      </w:pPr>
      <w:r w:rsidDel="00000000" w:rsidR="00000000" w:rsidRPr="00000000">
        <w:rPr>
          <w:rtl w:val="0"/>
        </w:rPr>
        <w:t xml:space="preserve">Každá oprávněná osoba smí zpracovávat osobní údaje pouze za zaměstnavatelem určeným účelem, a to pouze zaměstnavatelem určenými prostředky.</w:t>
      </w:r>
    </w:p>
    <w:p w:rsidR="00000000" w:rsidDel="00000000" w:rsidP="00000000" w:rsidRDefault="00000000" w:rsidRPr="00000000" w14:paraId="0000002D">
      <w:pPr>
        <w:numPr>
          <w:ilvl w:val="0"/>
          <w:numId w:val="3"/>
        </w:numPr>
        <w:spacing w:line="240" w:lineRule="auto"/>
        <w:ind w:left="720" w:hanging="360"/>
        <w:jc w:val="both"/>
        <w:rPr>
          <w:u w:val="none"/>
        </w:rPr>
      </w:pPr>
      <w:r w:rsidDel="00000000" w:rsidR="00000000" w:rsidRPr="00000000">
        <w:rPr>
          <w:rtl w:val="0"/>
        </w:rPr>
        <w:t xml:space="preserve">Oprávněná osoba je oprávněna zpracovávat osobní údaje pouze v souladu s pokyny zaměstnavatel. Oprávněná osoba smí zpracovávat pouze osobní údaje nezbytné pro plnění svých povinností vůči zaměstnavateli. Zaměstnavatel za tímto účelem zřizuje oprávněným osobám přístup výlučně k nutným evidencím osobních údajů.</w:t>
      </w:r>
    </w:p>
    <w:p w:rsidR="00000000" w:rsidDel="00000000" w:rsidP="00000000" w:rsidRDefault="00000000" w:rsidRPr="00000000" w14:paraId="0000002E">
      <w:pPr>
        <w:numPr>
          <w:ilvl w:val="0"/>
          <w:numId w:val="3"/>
        </w:numPr>
        <w:spacing w:line="240" w:lineRule="auto"/>
        <w:ind w:left="720" w:hanging="360"/>
        <w:jc w:val="both"/>
        <w:rPr>
          <w:u w:val="none"/>
        </w:rPr>
      </w:pPr>
      <w:r w:rsidDel="00000000" w:rsidR="00000000" w:rsidRPr="00000000">
        <w:rPr>
          <w:rtl w:val="0"/>
        </w:rPr>
        <w:t xml:space="preserve">Zjistí-li oprávněná osoba, že jsou osobní údaje jakéhokoliv subjektu údajů nepřesné, neúplné či zastaralé, ohlásí to zaměstnavateli.</w:t>
      </w:r>
    </w:p>
    <w:p w:rsidR="00000000" w:rsidDel="00000000" w:rsidP="00000000" w:rsidRDefault="00000000" w:rsidRPr="00000000" w14:paraId="0000002F">
      <w:pPr>
        <w:numPr>
          <w:ilvl w:val="0"/>
          <w:numId w:val="3"/>
        </w:numPr>
        <w:spacing w:line="240" w:lineRule="auto"/>
        <w:ind w:left="720" w:hanging="360"/>
        <w:jc w:val="both"/>
        <w:rPr>
          <w:u w:val="none"/>
        </w:rPr>
      </w:pPr>
      <w:r w:rsidDel="00000000" w:rsidR="00000000" w:rsidRPr="00000000">
        <w:rPr>
          <w:rtl w:val="0"/>
        </w:rPr>
        <w:t xml:space="preserve">Zjistí-li oprávněná osoba, že jsou osobní údaje zpracovávány déle, než je nezbytné pro účely, pro které jsou zpracovávány, ohlásí to bezprostředně přímému nadřízenému a nedojde-li k nápravě bez zbytečného prodlení, pověřené osobě, příp. zaměstnavateli.</w:t>
      </w:r>
    </w:p>
    <w:p w:rsidR="00000000" w:rsidDel="00000000" w:rsidP="00000000" w:rsidRDefault="00000000" w:rsidRPr="00000000" w14:paraId="00000030">
      <w:pPr>
        <w:numPr>
          <w:ilvl w:val="0"/>
          <w:numId w:val="3"/>
        </w:numPr>
        <w:spacing w:line="240" w:lineRule="auto"/>
        <w:ind w:left="720" w:hanging="360"/>
        <w:jc w:val="both"/>
        <w:rPr>
          <w:u w:val="none"/>
        </w:rPr>
      </w:pPr>
      <w:r w:rsidDel="00000000" w:rsidR="00000000" w:rsidRPr="00000000">
        <w:rPr>
          <w:rtl w:val="0"/>
        </w:rPr>
        <w:t xml:space="preserve">Oprávněná osoba pracující s osobními údaji v analogové formě je povinna tyto vždy před odchodem z pracoviště uzamknout tak, aby k nim neměla přístup žádná neoprávněná osoba.</w:t>
      </w:r>
    </w:p>
    <w:p w:rsidR="00000000" w:rsidDel="00000000" w:rsidP="00000000" w:rsidRDefault="00000000" w:rsidRPr="00000000" w14:paraId="00000031">
      <w:pPr>
        <w:numPr>
          <w:ilvl w:val="0"/>
          <w:numId w:val="3"/>
        </w:numPr>
        <w:spacing w:line="240" w:lineRule="auto"/>
        <w:ind w:left="720" w:hanging="360"/>
        <w:jc w:val="both"/>
        <w:rPr>
          <w:u w:val="none"/>
        </w:rPr>
      </w:pPr>
      <w:r w:rsidDel="00000000" w:rsidR="00000000" w:rsidRPr="00000000">
        <w:rPr>
          <w:rtl w:val="0"/>
        </w:rPr>
        <w:t xml:space="preserve">Oprávněná osoba pracující s osobními údaji na PC musí vždy zajistit, aby v době její nepřítomnosti bylo nezbytné pro přístup k nim zadat přístupové heslo, které nesmí prozradit třetí osobě. Zároveň se zavazuje přístupové heslo minimálně </w:t>
      </w:r>
      <w:r w:rsidDel="00000000" w:rsidR="00000000" w:rsidRPr="00000000">
        <w:rPr>
          <w:highlight w:val="yellow"/>
          <w:rtl w:val="0"/>
        </w:rPr>
        <w:t xml:space="preserve">1 x za 6 měsíců</w:t>
      </w:r>
      <w:r w:rsidDel="00000000" w:rsidR="00000000" w:rsidRPr="00000000">
        <w:rPr>
          <w:rtl w:val="0"/>
        </w:rPr>
        <w:t xml:space="preserve"> měnit.</w:t>
      </w:r>
    </w:p>
    <w:p w:rsidR="00000000" w:rsidDel="00000000" w:rsidP="00000000" w:rsidRDefault="00000000" w:rsidRPr="00000000" w14:paraId="00000032">
      <w:pPr>
        <w:spacing w:line="240" w:lineRule="auto"/>
        <w:ind w:left="560" w:firstLine="0"/>
        <w:jc w:val="both"/>
        <w:rPr>
          <w:b w:val="1"/>
        </w:rPr>
      </w:pPr>
      <w:r w:rsidDel="00000000" w:rsidR="00000000" w:rsidRPr="00000000">
        <w:rPr>
          <w:b w:val="1"/>
          <w:rtl w:val="0"/>
        </w:rPr>
        <w:t xml:space="preserve"> </w:t>
      </w:r>
    </w:p>
    <w:p w:rsidR="00000000" w:rsidDel="00000000" w:rsidP="00000000" w:rsidRDefault="00000000" w:rsidRPr="00000000" w14:paraId="00000033">
      <w:pPr>
        <w:spacing w:line="240" w:lineRule="auto"/>
        <w:ind w:left="0" w:firstLine="0"/>
        <w:jc w:val="both"/>
        <w:rPr>
          <w:b w:val="1"/>
        </w:rPr>
      </w:pPr>
      <w:r w:rsidDel="00000000" w:rsidR="00000000" w:rsidRPr="00000000">
        <w:rPr>
          <w:b w:val="1"/>
          <w:rtl w:val="0"/>
        </w:rPr>
        <w:t xml:space="preserve">V. </w:t>
        <w:tab/>
        <w:t xml:space="preserve">Práva subjektů údajů</w:t>
      </w:r>
    </w:p>
    <w:p w:rsidR="00000000" w:rsidDel="00000000" w:rsidP="00000000" w:rsidRDefault="00000000" w:rsidRPr="00000000" w14:paraId="00000034">
      <w:pPr>
        <w:numPr>
          <w:ilvl w:val="0"/>
          <w:numId w:val="6"/>
        </w:numPr>
        <w:spacing w:line="240" w:lineRule="auto"/>
        <w:ind w:left="720" w:hanging="360"/>
        <w:jc w:val="both"/>
        <w:rPr>
          <w:u w:val="none"/>
        </w:rPr>
      </w:pPr>
      <w:r w:rsidDel="00000000" w:rsidR="00000000" w:rsidRPr="00000000">
        <w:rPr>
          <w:rtl w:val="0"/>
        </w:rPr>
        <w:t xml:space="preserve">Oprávněná osoba, která obdržela v jakékoliv formě (písemně, telefonicky, osobně) žádost či stížnost fyzické osoby, která se týká nebo by se mohla týkat ochrany osobních údajů, zejména žádosti ve smyslu čl. 15 - 22 GDPR, oznámí tuto skutečnost příslušné pověřené osobě.</w:t>
      </w:r>
    </w:p>
    <w:p w:rsidR="00000000" w:rsidDel="00000000" w:rsidP="00000000" w:rsidRDefault="00000000" w:rsidRPr="00000000" w14:paraId="00000035">
      <w:pPr>
        <w:numPr>
          <w:ilvl w:val="0"/>
          <w:numId w:val="6"/>
        </w:numPr>
        <w:spacing w:line="240" w:lineRule="auto"/>
        <w:ind w:left="720" w:hanging="360"/>
        <w:jc w:val="both"/>
        <w:rPr>
          <w:u w:val="none"/>
        </w:rPr>
      </w:pPr>
      <w:r w:rsidDel="00000000" w:rsidR="00000000" w:rsidRPr="00000000">
        <w:rPr>
          <w:rtl w:val="0"/>
        </w:rPr>
        <w:t xml:space="preserve">Příslušná pověřená osoba vyřizuje požadavky subjektů údajů v souladu s obecnými pokyny společnosti, vždy však tak, aby žádosti subjektu údajů bylo vyhověno bez zbytečného odkladu nejpozději do 1 měsíce ode dne obdržení žádosti, a aby mu byly k vyřízení jeho žádosti poskytnuty veškeré informace a v případě, že žádosti nebylo vyhověno, aby byly sděleny důvody tohoto rozhodnutí.</w:t>
      </w:r>
    </w:p>
    <w:p w:rsidR="00000000" w:rsidDel="00000000" w:rsidP="00000000" w:rsidRDefault="00000000" w:rsidRPr="00000000" w14:paraId="00000036">
      <w:pPr>
        <w:numPr>
          <w:ilvl w:val="0"/>
          <w:numId w:val="6"/>
        </w:numPr>
        <w:spacing w:line="240" w:lineRule="auto"/>
        <w:ind w:left="720" w:hanging="360"/>
        <w:jc w:val="both"/>
        <w:rPr>
          <w:u w:val="none"/>
        </w:rPr>
      </w:pPr>
      <w:r w:rsidDel="00000000" w:rsidR="00000000" w:rsidRPr="00000000">
        <w:rPr>
          <w:rtl w:val="0"/>
        </w:rPr>
        <w:t xml:space="preserve">Pověřená osoba je povinna před odpovědí na požadavek ověřit identitu žádajícího subjektu údajů, a provést tak vždy přiměřeným způsobem, který zaručí dostatečnou identifikaci subjektu údajů s ohledem na formu podání, využitý komunikační prostředek a obsah žádosti subjektu údajů. </w:t>
      </w:r>
    </w:p>
    <w:p w:rsidR="00000000" w:rsidDel="00000000" w:rsidP="00000000" w:rsidRDefault="00000000" w:rsidRPr="00000000" w14:paraId="00000037">
      <w:pPr>
        <w:numPr>
          <w:ilvl w:val="0"/>
          <w:numId w:val="6"/>
        </w:numPr>
        <w:spacing w:line="240" w:lineRule="auto"/>
        <w:ind w:left="720" w:hanging="360"/>
        <w:jc w:val="both"/>
        <w:rPr>
          <w:u w:val="none"/>
        </w:rPr>
      </w:pPr>
      <w:r w:rsidDel="00000000" w:rsidR="00000000" w:rsidRPr="00000000">
        <w:rPr>
          <w:rtl w:val="0"/>
        </w:rPr>
        <w:t xml:space="preserve">V případě žádosti subjektu údajů o přístup k osobním údajům poskytne příslušná pověřená osoba subjektu údajů minimálně informaci, zda osobní údaje, které se subjektu údajů týkají, jsou či nejsou zpracovávány a poskytne mu Informační doložku dle GDPR, jejíž vzor je přílohou této směrnice.</w:t>
      </w:r>
    </w:p>
    <w:p w:rsidR="00000000" w:rsidDel="00000000" w:rsidP="00000000" w:rsidRDefault="00000000" w:rsidRPr="00000000" w14:paraId="00000038">
      <w:pPr>
        <w:numPr>
          <w:ilvl w:val="0"/>
          <w:numId w:val="6"/>
        </w:numPr>
        <w:spacing w:line="240" w:lineRule="auto"/>
        <w:ind w:left="720" w:hanging="360"/>
        <w:jc w:val="both"/>
        <w:rPr>
          <w:u w:val="none"/>
        </w:rPr>
      </w:pPr>
      <w:r w:rsidDel="00000000" w:rsidR="00000000" w:rsidRPr="00000000">
        <w:rPr>
          <w:rtl w:val="0"/>
        </w:rPr>
        <w:t xml:space="preserve">Informace podle tohoto článku poskytuje společnost subjektu údajů ve stejné formě, v jaké o informace subjekt údajů požádal.</w:t>
      </w:r>
    </w:p>
    <w:p w:rsidR="00000000" w:rsidDel="00000000" w:rsidP="00000000" w:rsidRDefault="00000000" w:rsidRPr="00000000" w14:paraId="00000039">
      <w:pPr>
        <w:spacing w:line="240" w:lineRule="auto"/>
        <w:ind w:left="560" w:firstLine="0"/>
        <w:jc w:val="both"/>
        <w:rPr>
          <w:b w:val="1"/>
        </w:rPr>
      </w:pPr>
      <w:r w:rsidDel="00000000" w:rsidR="00000000" w:rsidRPr="00000000">
        <w:rPr>
          <w:b w:val="1"/>
          <w:rtl w:val="0"/>
        </w:rPr>
        <w:t xml:space="preserve"> </w:t>
      </w:r>
    </w:p>
    <w:p w:rsidR="00000000" w:rsidDel="00000000" w:rsidP="00000000" w:rsidRDefault="00000000" w:rsidRPr="00000000" w14:paraId="0000003A">
      <w:pPr>
        <w:spacing w:line="240" w:lineRule="auto"/>
        <w:jc w:val="both"/>
        <w:rPr/>
      </w:pPr>
      <w:r w:rsidDel="00000000" w:rsidR="00000000" w:rsidRPr="00000000">
        <w:rPr>
          <w:rtl w:val="0"/>
        </w:rPr>
        <w:t xml:space="preserve"> </w:t>
      </w:r>
    </w:p>
    <w:p w:rsidR="00000000" w:rsidDel="00000000" w:rsidP="00000000" w:rsidRDefault="00000000" w:rsidRPr="00000000" w14:paraId="0000003B">
      <w:pPr>
        <w:spacing w:line="240" w:lineRule="auto"/>
        <w:ind w:left="0" w:firstLine="0"/>
        <w:jc w:val="both"/>
        <w:rPr>
          <w:b w:val="1"/>
        </w:rPr>
      </w:pPr>
      <w:r w:rsidDel="00000000" w:rsidR="00000000" w:rsidRPr="00000000">
        <w:rPr>
          <w:b w:val="1"/>
          <w:rtl w:val="0"/>
        </w:rPr>
        <w:t xml:space="preserve">VI. </w:t>
        <w:tab/>
        <w:t xml:space="preserve">Ohlašování případů porušení zabezpečení osobních údajů dozorovému úřadu</w:t>
      </w:r>
    </w:p>
    <w:p w:rsidR="00000000" w:rsidDel="00000000" w:rsidP="00000000" w:rsidRDefault="00000000" w:rsidRPr="00000000" w14:paraId="0000003C">
      <w:pPr>
        <w:spacing w:line="240" w:lineRule="auto"/>
        <w:ind w:left="560" w:firstLine="0"/>
        <w:jc w:val="both"/>
        <w:rPr/>
      </w:pPr>
      <w:r w:rsidDel="00000000" w:rsidR="00000000" w:rsidRPr="00000000">
        <w:rPr>
          <w:rtl w:val="0"/>
        </w:rPr>
        <w:t xml:space="preserve"> </w:t>
      </w:r>
    </w:p>
    <w:p w:rsidR="00000000" w:rsidDel="00000000" w:rsidP="00000000" w:rsidRDefault="00000000" w:rsidRPr="00000000" w14:paraId="0000003D">
      <w:pPr>
        <w:numPr>
          <w:ilvl w:val="0"/>
          <w:numId w:val="2"/>
        </w:numPr>
        <w:spacing w:line="240" w:lineRule="auto"/>
        <w:ind w:left="720" w:hanging="360"/>
        <w:jc w:val="both"/>
        <w:rPr>
          <w:u w:val="none"/>
        </w:rPr>
      </w:pPr>
      <w:r w:rsidDel="00000000" w:rsidR="00000000" w:rsidRPr="00000000">
        <w:rPr>
          <w:rtl w:val="0"/>
        </w:rPr>
        <w:t xml:space="preserve">Porušením zabezpečení osobních údajů je porušení zabezpečení, které vede k náhodnému nebo protiprávnímu zničení, ztrátě, změně nebo neoprávněnému poskytnutí nebo zpřístupnění přenášených, uložených nebo jinak zpracovávaných osobních údajů. Může se jednat zejména o krádež nebo zničení analogově vedených informací, krádež nebo zničení elektronických médií včetně PC nebo hackerský útok.</w:t>
      </w:r>
    </w:p>
    <w:p w:rsidR="00000000" w:rsidDel="00000000" w:rsidP="00000000" w:rsidRDefault="00000000" w:rsidRPr="00000000" w14:paraId="0000003E">
      <w:pPr>
        <w:numPr>
          <w:ilvl w:val="0"/>
          <w:numId w:val="2"/>
        </w:numPr>
        <w:spacing w:line="240" w:lineRule="auto"/>
        <w:ind w:left="720" w:hanging="360"/>
        <w:jc w:val="both"/>
        <w:rPr>
          <w:u w:val="none"/>
        </w:rPr>
      </w:pPr>
      <w:r w:rsidDel="00000000" w:rsidR="00000000" w:rsidRPr="00000000">
        <w:rPr>
          <w:rtl w:val="0"/>
        </w:rPr>
        <w:t xml:space="preserve">Oprávněná osoba, která zjistí, že došlo k porušení zabezpečení osobních údajů je o tom povinna neprodleně informovat pověřenou osobu, a to bez ohledu na denní dobu.</w:t>
      </w:r>
    </w:p>
    <w:p w:rsidR="00000000" w:rsidDel="00000000" w:rsidP="00000000" w:rsidRDefault="00000000" w:rsidRPr="00000000" w14:paraId="0000003F">
      <w:pPr>
        <w:numPr>
          <w:ilvl w:val="0"/>
          <w:numId w:val="2"/>
        </w:numPr>
        <w:spacing w:line="240" w:lineRule="auto"/>
        <w:ind w:left="720" w:hanging="360"/>
        <w:jc w:val="both"/>
        <w:rPr>
          <w:u w:val="none"/>
        </w:rPr>
      </w:pPr>
      <w:r w:rsidDel="00000000" w:rsidR="00000000" w:rsidRPr="00000000">
        <w:rPr>
          <w:rtl w:val="0"/>
        </w:rPr>
        <w:t xml:space="preserve">Jakékoli porušení zabezpečení osobních údajů je zaměstnavatel povinen bez zbytečného odkladu a pokud možno do </w:t>
      </w:r>
      <w:r w:rsidDel="00000000" w:rsidR="00000000" w:rsidRPr="00000000">
        <w:rPr>
          <w:highlight w:val="yellow"/>
          <w:rtl w:val="0"/>
        </w:rPr>
        <w:t xml:space="preserve">72 hodin</w:t>
      </w:r>
      <w:r w:rsidDel="00000000" w:rsidR="00000000" w:rsidRPr="00000000">
        <w:rPr>
          <w:rtl w:val="0"/>
        </w:rPr>
        <w:t xml:space="preserve"> od okamžiku, kdy se o něm dozvěděl, ohlásit dozorovému úřadu, ledaže je nepravděpodobné, že by toto porušení mělo za následek riziko pro práva a svobody fyzických osob. Pokud není ohlášení dozorovému úřadu učiněno do 72 hodin, musí být současně s ním uvedeny důvody tohoto zpoždění.</w:t>
      </w:r>
    </w:p>
    <w:p w:rsidR="00000000" w:rsidDel="00000000" w:rsidP="00000000" w:rsidRDefault="00000000" w:rsidRPr="00000000" w14:paraId="00000040">
      <w:pPr>
        <w:numPr>
          <w:ilvl w:val="0"/>
          <w:numId w:val="2"/>
        </w:numPr>
        <w:spacing w:line="240" w:lineRule="auto"/>
        <w:ind w:left="720" w:hanging="360"/>
        <w:jc w:val="both"/>
        <w:rPr>
          <w:u w:val="none"/>
        </w:rPr>
      </w:pPr>
      <w:r w:rsidDel="00000000" w:rsidR="00000000" w:rsidRPr="00000000">
        <w:rPr>
          <w:rtl w:val="0"/>
        </w:rPr>
        <w:t xml:space="preserve">Ohlášení dozorovému úřadu provede zaměstnavatel prostřednictvím datové schránky.</w:t>
      </w:r>
    </w:p>
    <w:p w:rsidR="00000000" w:rsidDel="00000000" w:rsidP="00000000" w:rsidRDefault="00000000" w:rsidRPr="00000000" w14:paraId="00000041">
      <w:pPr>
        <w:numPr>
          <w:ilvl w:val="0"/>
          <w:numId w:val="2"/>
        </w:numPr>
        <w:spacing w:line="240" w:lineRule="auto"/>
        <w:ind w:left="720" w:hanging="360"/>
        <w:jc w:val="both"/>
        <w:rPr>
          <w:u w:val="none"/>
        </w:rPr>
      </w:pPr>
      <w:r w:rsidDel="00000000" w:rsidR="00000000" w:rsidRPr="00000000">
        <w:rPr>
          <w:rtl w:val="0"/>
        </w:rPr>
        <w:t xml:space="preserve">Ohlášení dozorovému úřadu podle tohoto článku musí přinejmenším obsahovat:</w:t>
      </w:r>
    </w:p>
    <w:p w:rsidR="00000000" w:rsidDel="00000000" w:rsidP="00000000" w:rsidRDefault="00000000" w:rsidRPr="00000000" w14:paraId="00000042">
      <w:pPr>
        <w:numPr>
          <w:ilvl w:val="0"/>
          <w:numId w:val="7"/>
        </w:numPr>
        <w:spacing w:line="240" w:lineRule="auto"/>
        <w:ind w:left="720" w:hanging="360"/>
        <w:jc w:val="both"/>
        <w:rPr>
          <w:u w:val="none"/>
        </w:rPr>
      </w:pPr>
      <w:r w:rsidDel="00000000" w:rsidR="00000000" w:rsidRPr="00000000">
        <w:rPr>
          <w:rtl w:val="0"/>
        </w:rPr>
        <w:t xml:space="preserve">popis povahy daného případu porušení zabezpečení osobních údajů včetně, pokud je to možné, kategorií a přibližného počtu dotčených subjektů údajů a kategorií a přibližného množství dotčených záznamů osobních údajů;</w:t>
      </w:r>
    </w:p>
    <w:p w:rsidR="00000000" w:rsidDel="00000000" w:rsidP="00000000" w:rsidRDefault="00000000" w:rsidRPr="00000000" w14:paraId="00000043">
      <w:pPr>
        <w:numPr>
          <w:ilvl w:val="0"/>
          <w:numId w:val="7"/>
        </w:numPr>
        <w:spacing w:line="240" w:lineRule="auto"/>
        <w:ind w:left="720" w:hanging="360"/>
        <w:jc w:val="both"/>
        <w:rPr>
          <w:u w:val="none"/>
        </w:rPr>
      </w:pPr>
      <w:r w:rsidDel="00000000" w:rsidR="00000000" w:rsidRPr="00000000">
        <w:rPr>
          <w:rtl w:val="0"/>
        </w:rPr>
        <w:t xml:space="preserve">jméno a kontaktní údaje pověřence pro ochranu osobních údajů nebo jiného kontaktního místa, které může poskytnout bližší informace;</w:t>
      </w:r>
    </w:p>
    <w:p w:rsidR="00000000" w:rsidDel="00000000" w:rsidP="00000000" w:rsidRDefault="00000000" w:rsidRPr="00000000" w14:paraId="00000044">
      <w:pPr>
        <w:numPr>
          <w:ilvl w:val="0"/>
          <w:numId w:val="7"/>
        </w:numPr>
        <w:spacing w:line="240" w:lineRule="auto"/>
        <w:ind w:left="720" w:hanging="360"/>
        <w:jc w:val="both"/>
        <w:rPr>
          <w:u w:val="none"/>
        </w:rPr>
      </w:pPr>
      <w:r w:rsidDel="00000000" w:rsidR="00000000" w:rsidRPr="00000000">
        <w:rPr>
          <w:rtl w:val="0"/>
        </w:rPr>
        <w:t xml:space="preserve">popis pravděpodobných důsledků porušení zabezpečení osobních údajů;</w:t>
      </w:r>
    </w:p>
    <w:p w:rsidR="00000000" w:rsidDel="00000000" w:rsidP="00000000" w:rsidRDefault="00000000" w:rsidRPr="00000000" w14:paraId="00000045">
      <w:pPr>
        <w:numPr>
          <w:ilvl w:val="0"/>
          <w:numId w:val="7"/>
        </w:numPr>
        <w:spacing w:line="240" w:lineRule="auto"/>
        <w:ind w:left="720" w:hanging="360"/>
        <w:jc w:val="both"/>
        <w:rPr>
          <w:u w:val="none"/>
        </w:rPr>
      </w:pPr>
      <w:r w:rsidDel="00000000" w:rsidR="00000000" w:rsidRPr="00000000">
        <w:rPr>
          <w:rtl w:val="0"/>
        </w:rPr>
        <w:t xml:space="preserve">popis opatření, která zaměstnavatel přijal nebo navrhl k přijetí s cílem vyřešit dané porušení zabezpečení osobních údajů, včetně případných opatření ke zmírnění možných nepříznivých dopadů.</w:t>
      </w:r>
    </w:p>
    <w:p w:rsidR="00000000" w:rsidDel="00000000" w:rsidP="00000000" w:rsidRDefault="00000000" w:rsidRPr="00000000" w14:paraId="00000046">
      <w:pPr>
        <w:spacing w:line="240" w:lineRule="auto"/>
        <w:ind w:left="1440" w:firstLine="0"/>
        <w:jc w:val="both"/>
        <w:rPr/>
      </w:pPr>
      <w:r w:rsidDel="00000000" w:rsidR="00000000" w:rsidRPr="00000000">
        <w:rPr>
          <w:rtl w:val="0"/>
        </w:rPr>
        <w:t xml:space="preserve">Není-li možné poskytnout veškeré tyto informace současně, mohou být poskytnuty postupně bez zbytečného odkladu.</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Pokud je pravděpodobné, že určitý případ porušení zabezpečení osobních údajů bude mít za následek vysoké riziko pro práva a svobody fyzických osob, oznámí pověřená osoba toto porušení bez zbytečného odkladu subjektu údajů.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tl w:val="0"/>
        </w:rPr>
        <w:t xml:space="preserve">Zaměstnavatel prostřednictvím pověřené osoby dokumentuje veškeré případy porušení zabezpečení osobních údajů, přičemž uvede skutečnosti, které se týkají daného porušení, jeho účinky a přijatá nápravná opatření.</w:t>
      </w:r>
    </w:p>
    <w:p w:rsidR="00000000" w:rsidDel="00000000" w:rsidP="00000000" w:rsidRDefault="00000000" w:rsidRPr="00000000" w14:paraId="00000049">
      <w:pPr>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4A">
      <w:pPr>
        <w:spacing w:line="240" w:lineRule="auto"/>
        <w:ind w:left="0" w:firstLine="0"/>
        <w:jc w:val="both"/>
        <w:rPr>
          <w:b w:val="1"/>
        </w:rPr>
      </w:pPr>
      <w:r w:rsidDel="00000000" w:rsidR="00000000" w:rsidRPr="00000000">
        <w:rPr>
          <w:b w:val="1"/>
          <w:rtl w:val="0"/>
        </w:rPr>
        <w:t xml:space="preserve">VII. </w:t>
        <w:tab/>
        <w:t xml:space="preserve">Kontrola dodržování směrnice</w:t>
      </w:r>
    </w:p>
    <w:p w:rsidR="00000000" w:rsidDel="00000000" w:rsidP="00000000" w:rsidRDefault="00000000" w:rsidRPr="00000000" w14:paraId="0000004B">
      <w:pPr>
        <w:numPr>
          <w:ilvl w:val="0"/>
          <w:numId w:val="4"/>
        </w:numPr>
        <w:spacing w:line="240" w:lineRule="auto"/>
        <w:ind w:left="720" w:hanging="360"/>
        <w:jc w:val="both"/>
        <w:rPr>
          <w:u w:val="none"/>
        </w:rPr>
      </w:pPr>
      <w:r w:rsidDel="00000000" w:rsidR="00000000" w:rsidRPr="00000000">
        <w:rPr>
          <w:rtl w:val="0"/>
        </w:rPr>
        <w:t xml:space="preserve">Dohled nad dodržováním této směrnice a obecně závazných právních předpisů souvisejících s GDPR vykonává zaměstnavatel.</w:t>
      </w:r>
    </w:p>
    <w:p w:rsidR="00000000" w:rsidDel="00000000" w:rsidP="00000000" w:rsidRDefault="00000000" w:rsidRPr="00000000" w14:paraId="0000004C">
      <w:pPr>
        <w:numPr>
          <w:ilvl w:val="0"/>
          <w:numId w:val="4"/>
        </w:numPr>
        <w:spacing w:line="240" w:lineRule="auto"/>
        <w:ind w:left="720" w:hanging="360"/>
        <w:jc w:val="both"/>
        <w:rPr>
          <w:u w:val="none"/>
        </w:rPr>
      </w:pPr>
      <w:r w:rsidDel="00000000" w:rsidR="00000000" w:rsidRPr="00000000">
        <w:rPr>
          <w:highlight w:val="yellow"/>
          <w:rtl w:val="0"/>
        </w:rPr>
        <w:t xml:space="preserve">Statutární orgán společnosti</w:t>
      </w:r>
      <w:r w:rsidDel="00000000" w:rsidR="00000000" w:rsidRPr="00000000">
        <w:rPr>
          <w:rtl w:val="0"/>
        </w:rPr>
        <w:t xml:space="preserve"> slouží jako kontaktní osoba oprávněné osoby v otázkách bezpečnosti a ochrany osobních údajů. V případě jakýchkoli pochybností o výkladu této směrnice či rozsahu a obsahu zákonných povinností poskytuje </w:t>
      </w:r>
      <w:r w:rsidDel="00000000" w:rsidR="00000000" w:rsidRPr="00000000">
        <w:rPr>
          <w:highlight w:val="yellow"/>
          <w:rtl w:val="0"/>
        </w:rPr>
        <w:t xml:space="preserve">statutární orgán</w:t>
      </w:r>
      <w:r w:rsidDel="00000000" w:rsidR="00000000" w:rsidRPr="00000000">
        <w:rPr>
          <w:rtl w:val="0"/>
        </w:rPr>
        <w:t xml:space="preserve"> závazný výklad, kterým jsou oprávněné osoby povinny se řídit.</w:t>
      </w:r>
    </w:p>
    <w:p w:rsidR="00000000" w:rsidDel="00000000" w:rsidP="00000000" w:rsidRDefault="00000000" w:rsidRPr="00000000" w14:paraId="0000004D">
      <w:pPr>
        <w:numPr>
          <w:ilvl w:val="0"/>
          <w:numId w:val="4"/>
        </w:numPr>
        <w:spacing w:line="240" w:lineRule="auto"/>
        <w:ind w:left="720" w:hanging="360"/>
        <w:jc w:val="both"/>
        <w:rPr>
          <w:u w:val="none"/>
        </w:rPr>
      </w:pPr>
      <w:r w:rsidDel="00000000" w:rsidR="00000000" w:rsidRPr="00000000">
        <w:rPr>
          <w:highlight w:val="yellow"/>
          <w:rtl w:val="0"/>
        </w:rPr>
        <w:t xml:space="preserve">Statutární orgán</w:t>
      </w:r>
      <w:r w:rsidDel="00000000" w:rsidR="00000000" w:rsidRPr="00000000">
        <w:rPr>
          <w:rtl w:val="0"/>
        </w:rPr>
        <w:t xml:space="preserve"> odpovídá za aktualizaci této směrnice.</w:t>
      </w:r>
    </w:p>
    <w:p w:rsidR="00000000" w:rsidDel="00000000" w:rsidP="00000000" w:rsidRDefault="00000000" w:rsidRPr="00000000" w14:paraId="0000004E">
      <w:pPr>
        <w:spacing w:line="240" w:lineRule="auto"/>
        <w:jc w:val="both"/>
        <w:rPr>
          <w:b w:val="1"/>
        </w:rPr>
      </w:pPr>
      <w:r w:rsidDel="00000000" w:rsidR="00000000" w:rsidRPr="00000000">
        <w:rPr>
          <w:b w:val="1"/>
          <w:rtl w:val="0"/>
        </w:rPr>
        <w:t xml:space="preserve"> </w:t>
      </w:r>
    </w:p>
    <w:p w:rsidR="00000000" w:rsidDel="00000000" w:rsidP="00000000" w:rsidRDefault="00000000" w:rsidRPr="00000000" w14:paraId="0000004F">
      <w:pPr>
        <w:spacing w:line="240" w:lineRule="auto"/>
        <w:ind w:left="0" w:firstLine="0"/>
        <w:jc w:val="both"/>
        <w:rPr>
          <w:b w:val="1"/>
        </w:rPr>
      </w:pPr>
      <w:r w:rsidDel="00000000" w:rsidR="00000000" w:rsidRPr="00000000">
        <w:rPr>
          <w:b w:val="1"/>
          <w:rtl w:val="0"/>
        </w:rPr>
        <w:t xml:space="preserve">VII. </w:t>
        <w:tab/>
        <w:t xml:space="preserve">ZÁVĚREČNÁ USTANOVENÍ</w:t>
      </w:r>
    </w:p>
    <w:p w:rsidR="00000000" w:rsidDel="00000000" w:rsidP="00000000" w:rsidRDefault="00000000" w:rsidRPr="00000000" w14:paraId="00000050">
      <w:pPr>
        <w:numPr>
          <w:ilvl w:val="0"/>
          <w:numId w:val="1"/>
        </w:numPr>
        <w:spacing w:line="240" w:lineRule="auto"/>
        <w:ind w:left="720" w:hanging="360"/>
        <w:jc w:val="both"/>
        <w:rPr>
          <w:u w:val="none"/>
        </w:rPr>
      </w:pPr>
      <w:r w:rsidDel="00000000" w:rsidR="00000000" w:rsidRPr="00000000">
        <w:rPr>
          <w:rtl w:val="0"/>
        </w:rPr>
        <w:t xml:space="preserve">Tato směrnice je nedílnou součástí komplexní soustavy vnitřních předpisů zaměstnavatele.</w:t>
      </w:r>
    </w:p>
    <w:p w:rsidR="00000000" w:rsidDel="00000000" w:rsidP="00000000" w:rsidRDefault="00000000" w:rsidRPr="00000000" w14:paraId="00000051">
      <w:pPr>
        <w:numPr>
          <w:ilvl w:val="0"/>
          <w:numId w:val="1"/>
        </w:numPr>
        <w:spacing w:line="240" w:lineRule="auto"/>
        <w:ind w:left="720" w:hanging="360"/>
        <w:jc w:val="both"/>
        <w:rPr>
          <w:u w:val="none"/>
        </w:rPr>
      </w:pPr>
      <w:r w:rsidDel="00000000" w:rsidR="00000000" w:rsidRPr="00000000">
        <w:rPr>
          <w:rtl w:val="0"/>
        </w:rPr>
        <w:t xml:space="preserve">Tato směrnice byla schválena dne </w:t>
      </w:r>
      <w:r w:rsidDel="00000000" w:rsidR="00000000" w:rsidRPr="00000000">
        <w:rPr>
          <w:i w:val="1"/>
          <w:highlight w:val="yellow"/>
          <w:rtl w:val="0"/>
        </w:rPr>
        <w:t xml:space="preserve">(doplňte) </w:t>
      </w:r>
      <w:r w:rsidDel="00000000" w:rsidR="00000000" w:rsidRPr="00000000">
        <w:rPr>
          <w:rtl w:val="0"/>
        </w:rPr>
        <w:t xml:space="preserve">a nabývá účinnosti dnem  </w:t>
      </w:r>
      <w:r w:rsidDel="00000000" w:rsidR="00000000" w:rsidRPr="00000000">
        <w:rPr>
          <w:i w:val="1"/>
          <w:highlight w:val="yellow"/>
          <w:rtl w:val="0"/>
        </w:rPr>
        <w:t xml:space="preserve">(doplňte).</w:t>
      </w:r>
    </w:p>
    <w:p w:rsidR="00000000" w:rsidDel="00000000" w:rsidP="00000000" w:rsidRDefault="00000000" w:rsidRPr="00000000" w14:paraId="00000052">
      <w:pPr>
        <w:spacing w:after="240" w:before="240" w:line="240" w:lineRule="auto"/>
        <w:jc w:val="both"/>
        <w:rPr/>
      </w:pPr>
      <w:r w:rsidDel="00000000" w:rsidR="00000000" w:rsidRPr="00000000">
        <w:rPr>
          <w:rtl w:val="0"/>
        </w:rPr>
        <w:t xml:space="preserve"> </w:t>
      </w:r>
    </w:p>
    <w:p w:rsidR="00000000" w:rsidDel="00000000" w:rsidP="00000000" w:rsidRDefault="00000000" w:rsidRPr="00000000" w14:paraId="00000053">
      <w:pPr>
        <w:spacing w:after="240" w:before="240" w:line="240" w:lineRule="auto"/>
        <w:jc w:val="both"/>
        <w:rPr>
          <w:i w:val="1"/>
          <w:highlight w:val="yellow"/>
        </w:rPr>
      </w:pPr>
      <w:r w:rsidDel="00000000" w:rsidR="00000000" w:rsidRPr="00000000">
        <w:rPr>
          <w:rtl w:val="0"/>
        </w:rPr>
        <w:t xml:space="preserve">V </w:t>
      </w:r>
      <w:r w:rsidDel="00000000" w:rsidR="00000000" w:rsidRPr="00000000">
        <w:rPr>
          <w:i w:val="1"/>
          <w:highlight w:val="yellow"/>
          <w:rtl w:val="0"/>
        </w:rPr>
        <w:t xml:space="preserve">(doplňte)</w:t>
      </w:r>
      <w:r w:rsidDel="00000000" w:rsidR="00000000" w:rsidRPr="00000000">
        <w:rPr>
          <w:rtl w:val="0"/>
        </w:rPr>
        <w:t xml:space="preserve"> dne  </w:t>
      </w:r>
      <w:r w:rsidDel="00000000" w:rsidR="00000000" w:rsidRPr="00000000">
        <w:rPr>
          <w:i w:val="1"/>
          <w:highlight w:val="yellow"/>
          <w:rtl w:val="0"/>
        </w:rPr>
        <w:t xml:space="preserve">(doplňte)</w:t>
      </w:r>
    </w:p>
    <w:p w:rsidR="00000000" w:rsidDel="00000000" w:rsidP="00000000" w:rsidRDefault="00000000" w:rsidRPr="00000000" w14:paraId="00000054">
      <w:pPr>
        <w:spacing w:after="240" w:before="240" w:line="240" w:lineRule="auto"/>
        <w:jc w:val="both"/>
        <w:rPr/>
      </w:pPr>
      <w:r w:rsidDel="00000000" w:rsidR="00000000" w:rsidRPr="00000000">
        <w:rPr>
          <w:rtl w:val="0"/>
        </w:rPr>
        <w:t xml:space="preserve"> </w:t>
      </w:r>
    </w:p>
    <w:p w:rsidR="00000000" w:rsidDel="00000000" w:rsidP="00000000" w:rsidRDefault="00000000" w:rsidRPr="00000000" w14:paraId="00000055">
      <w:pPr>
        <w:spacing w:after="240" w:before="240" w:line="240" w:lineRule="auto"/>
        <w:jc w:val="both"/>
        <w:rPr/>
      </w:pPr>
      <w:r w:rsidDel="00000000" w:rsidR="00000000" w:rsidRPr="00000000">
        <w:rPr>
          <w:rtl w:val="0"/>
        </w:rPr>
        <w:t xml:space="preserve"> </w:t>
      </w:r>
    </w:p>
    <w:p w:rsidR="00000000" w:rsidDel="00000000" w:rsidP="00000000" w:rsidRDefault="00000000" w:rsidRPr="00000000" w14:paraId="00000056">
      <w:pPr>
        <w:spacing w:after="240" w:before="240" w:line="240" w:lineRule="auto"/>
        <w:jc w:val="both"/>
        <w:rPr/>
      </w:pPr>
      <w:r w:rsidDel="00000000" w:rsidR="00000000" w:rsidRPr="00000000">
        <w:rPr>
          <w:rtl w:val="0"/>
        </w:rPr>
        <w:t xml:space="preserve"> </w:t>
      </w:r>
    </w:p>
    <w:p w:rsidR="00000000" w:rsidDel="00000000" w:rsidP="00000000" w:rsidRDefault="00000000" w:rsidRPr="00000000" w14:paraId="00000057">
      <w:pPr>
        <w:spacing w:after="240" w:before="240" w:line="240" w:lineRule="auto"/>
        <w:jc w:val="both"/>
        <w:rPr>
          <w:b w:val="1"/>
        </w:rPr>
      </w:pPr>
      <w:r w:rsidDel="00000000" w:rsidR="00000000" w:rsidRPr="00000000">
        <w:rPr>
          <w:rtl w:val="0"/>
        </w:rPr>
        <w:t xml:space="preserve">           </w:t>
        <w:tab/>
      </w:r>
      <w:r w:rsidDel="00000000" w:rsidR="00000000" w:rsidRPr="00000000">
        <w:rPr>
          <w:b w:val="1"/>
          <w:rtl w:val="0"/>
        </w:rPr>
        <w:t xml:space="preserve">……….……….……….……..</w:t>
      </w:r>
    </w:p>
    <w:p w:rsidR="00000000" w:rsidDel="00000000" w:rsidP="00000000" w:rsidRDefault="00000000" w:rsidRPr="00000000" w14:paraId="00000058">
      <w:pPr>
        <w:spacing w:after="240" w:before="240" w:line="240" w:lineRule="auto"/>
        <w:rPr>
          <w:b w:val="1"/>
        </w:rPr>
      </w:pPr>
      <w:r w:rsidDel="00000000" w:rsidR="00000000" w:rsidRPr="00000000">
        <w:rPr>
          <w:rtl w:val="0"/>
        </w:rPr>
        <w:t xml:space="preserve">            </w:t>
      </w:r>
      <w:r w:rsidDel="00000000" w:rsidR="00000000" w:rsidRPr="00000000">
        <w:rPr>
          <w:b w:val="1"/>
          <w:rtl w:val="0"/>
        </w:rPr>
        <w:t xml:space="preserve">Zaměstnavatel</w:t>
      </w:r>
    </w:p>
    <w:p w:rsidR="00000000" w:rsidDel="00000000" w:rsidP="00000000" w:rsidRDefault="00000000" w:rsidRPr="00000000" w14:paraId="00000059">
      <w:pPr>
        <w:spacing w:line="24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