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971F0" w14:textId="77777777" w:rsidR="00000000" w:rsidRDefault="00F371B4">
      <w:pPr>
        <w:pStyle w:val="Normlnweb"/>
      </w:pPr>
      <w:r>
        <w:t> </w:t>
      </w:r>
    </w:p>
    <w:p w14:paraId="0034CC46" w14:textId="77777777" w:rsidR="00000000" w:rsidRDefault="00F371B4">
      <w:pPr>
        <w:pStyle w:val="Normlnweb"/>
        <w:jc w:val="center"/>
      </w:pPr>
      <w:r>
        <w:rPr>
          <w:rStyle w:val="Siln"/>
        </w:rPr>
        <w:t>SMLOUVA O MLČENLIVOSTI</w:t>
      </w:r>
    </w:p>
    <w:p w14:paraId="048D42DE" w14:textId="77777777" w:rsidR="00000000" w:rsidRDefault="00F371B4">
      <w:pPr>
        <w:pStyle w:val="Normlnweb"/>
        <w:jc w:val="center"/>
      </w:pPr>
      <w:r>
        <w:rPr>
          <w:rStyle w:val="Zdraznn"/>
        </w:rPr>
        <w:t>uzavřená níže uvedeného dne, měsíce a roku podle ust. § 1746 odst. 2. zákona č. 89/2012 Sb., občanský zákoník (dále jen „</w:t>
      </w:r>
      <w:r>
        <w:rPr>
          <w:rStyle w:val="Siln"/>
          <w:i/>
          <w:iCs/>
        </w:rPr>
        <w:t>smlouva</w:t>
      </w:r>
      <w:r>
        <w:rPr>
          <w:rStyle w:val="Zdraznn"/>
        </w:rPr>
        <w:t>“) mezi těmito smluvními stranami</w:t>
      </w:r>
    </w:p>
    <w:p w14:paraId="3A4B0349" w14:textId="77777777" w:rsidR="00000000" w:rsidRDefault="00F371B4">
      <w:pPr>
        <w:pStyle w:val="Normlnweb"/>
      </w:pPr>
      <w:r>
        <w:rPr>
          <w:rStyle w:val="Zdraznn"/>
        </w:rPr>
        <w:t> </w:t>
      </w:r>
    </w:p>
    <w:p w14:paraId="6AC9D80D" w14:textId="77777777" w:rsidR="00000000" w:rsidRDefault="00F371B4">
      <w:pPr>
        <w:pStyle w:val="Normlnweb"/>
      </w:pPr>
      <w:r>
        <w:rPr>
          <w:rStyle w:val="Siln"/>
        </w:rPr>
        <w:t xml:space="preserve">[jméno a příjmení nebo název společnosti oprávněného] </w:t>
      </w:r>
      <w:r>
        <w:rPr>
          <w:b/>
          <w:bCs/>
        </w:rPr>
        <w:br/>
      </w:r>
      <w:r>
        <w:t>[datum narození nebo IČO oprávněného]</w:t>
      </w:r>
      <w:r>
        <w:t xml:space="preserve"> </w:t>
      </w:r>
      <w:r>
        <w:br/>
        <w:t xml:space="preserve">[bytem nebo se sídlem oprávněného] </w:t>
      </w:r>
      <w:r>
        <w:br/>
        <w:t xml:space="preserve">[v případě společnosti doplňte: např. zastoupená Karlem Novákem, jednatelem] </w:t>
      </w:r>
    </w:p>
    <w:p w14:paraId="5C725E30" w14:textId="77777777" w:rsidR="00000000" w:rsidRDefault="00F371B4">
      <w:pPr>
        <w:pStyle w:val="Normlnweb"/>
      </w:pPr>
      <w:r>
        <w:t>(dále jen jako „</w:t>
      </w:r>
      <w:r>
        <w:rPr>
          <w:rStyle w:val="Siln"/>
        </w:rPr>
        <w:t>oprávněný</w:t>
      </w:r>
      <w:r>
        <w:t>“)</w:t>
      </w:r>
    </w:p>
    <w:p w14:paraId="2A942DD5" w14:textId="77777777" w:rsidR="00000000" w:rsidRDefault="00F371B4">
      <w:pPr>
        <w:pStyle w:val="Normlnweb"/>
      </w:pPr>
      <w:r>
        <w:t>a</w:t>
      </w:r>
    </w:p>
    <w:p w14:paraId="11AF086B" w14:textId="77777777" w:rsidR="00000000" w:rsidRDefault="00F371B4">
      <w:pPr>
        <w:pStyle w:val="Normlnweb"/>
      </w:pPr>
      <w:r>
        <w:rPr>
          <w:rStyle w:val="Siln"/>
        </w:rPr>
        <w:t xml:space="preserve">[jméno a příjmení nebo název společnosti povinného] </w:t>
      </w:r>
      <w:r>
        <w:rPr>
          <w:b/>
          <w:bCs/>
        </w:rPr>
        <w:br/>
      </w:r>
      <w:r>
        <w:t xml:space="preserve">[datum narození nebo IČO povinného] </w:t>
      </w:r>
      <w:r>
        <w:br/>
        <w:t>[bytem nebo se sídle</w:t>
      </w:r>
      <w:r>
        <w:t xml:space="preserve">m povinného] </w:t>
      </w:r>
      <w:r>
        <w:br/>
        <w:t xml:space="preserve">[v případě společnosti doplňte: např. zastoupená Karlem Novákem, jednatelem] </w:t>
      </w:r>
    </w:p>
    <w:p w14:paraId="02E2A1A7" w14:textId="77777777" w:rsidR="00000000" w:rsidRDefault="00F371B4">
      <w:pPr>
        <w:pStyle w:val="Normlnweb"/>
      </w:pPr>
      <w:r>
        <w:t>(dále jen jako „</w:t>
      </w:r>
      <w:r>
        <w:rPr>
          <w:rStyle w:val="Siln"/>
        </w:rPr>
        <w:t>povinný</w:t>
      </w:r>
      <w:r>
        <w:t>“)</w:t>
      </w:r>
    </w:p>
    <w:p w14:paraId="4B6040A9" w14:textId="77777777" w:rsidR="00000000" w:rsidRDefault="00F371B4">
      <w:pPr>
        <w:pStyle w:val="Normlnweb"/>
        <w:divId w:val="1690057554"/>
        <w:rPr>
          <w:color w:val="CC2929"/>
        </w:rPr>
      </w:pPr>
      <w:r>
        <w:rPr>
          <w:b/>
          <w:bCs/>
          <w:color w:val="CC2929"/>
        </w:rPr>
        <w:t>TIP:</w:t>
      </w:r>
      <w:r>
        <w:rPr>
          <w:color w:val="CC2929"/>
        </w:rPr>
        <w:t xml:space="preserve"> </w:t>
      </w:r>
      <w:r>
        <w:rPr>
          <w:color w:val="CC2929"/>
        </w:rPr>
        <w:br/>
        <w:t xml:space="preserve">POKUD SI PŘI VYPLŇOVÁNÍ NEBUDETE ČÍMKOLI JISTI, MŮŽETE VYUŽÍT POMOCI ODBORNÍKA (podrobnosti naleznete pod tímto vzorem) </w:t>
      </w:r>
    </w:p>
    <w:p w14:paraId="469D67B1" w14:textId="77777777" w:rsidR="00000000" w:rsidRDefault="00F371B4">
      <w:pPr>
        <w:pStyle w:val="Normlnweb"/>
      </w:pPr>
      <w:r>
        <w:t> </w:t>
      </w:r>
    </w:p>
    <w:p w14:paraId="1F9FC90B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I. Úvodní</w:t>
      </w:r>
      <w:r>
        <w:rPr>
          <w:rStyle w:val="Siln"/>
          <w:rFonts w:eastAsia="Times New Roman"/>
          <w:b/>
          <w:bCs/>
        </w:rPr>
        <w:t xml:space="preserve"> ustanovení</w:t>
      </w:r>
    </w:p>
    <w:p w14:paraId="4FF0795F" w14:textId="77777777" w:rsidR="00000000" w:rsidRDefault="00F371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[popis projektu oprávněného] (dále jen „</w:t>
      </w:r>
      <w:r>
        <w:rPr>
          <w:rStyle w:val="Siln"/>
          <w:rFonts w:eastAsia="Times New Roman"/>
        </w:rPr>
        <w:t>projekt</w:t>
      </w:r>
      <w:r>
        <w:rPr>
          <w:rFonts w:eastAsia="Times New Roman"/>
        </w:rPr>
        <w:t>“).</w:t>
      </w:r>
    </w:p>
    <w:p w14:paraId="576D0B33" w14:textId="77777777" w:rsidR="00000000" w:rsidRDefault="00F371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jsou si vědomy, že během spolupráce na projektu budou ze strany oprávněného zpřístupněny povinnému důvěrné informace o produktech a pracovních postupech oprávněného. Oprávněný má</w:t>
      </w:r>
      <w:r>
        <w:rPr>
          <w:rFonts w:eastAsia="Times New Roman"/>
        </w:rPr>
        <w:t xml:space="preserve"> zájem chránit tyto informace před jejich zveřejněním. Povinný je s tímto požadavkem ze strany oprávněného srozuměn.</w:t>
      </w:r>
    </w:p>
    <w:p w14:paraId="0D538DA1" w14:textId="77777777" w:rsidR="00000000" w:rsidRDefault="00F371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uzavírají tuto smlouvu za účelem ochrany veškerých důvěrných informací, které budou povinnému zpřístupněny v rámci spoluprác</w:t>
      </w:r>
      <w:r>
        <w:rPr>
          <w:rFonts w:eastAsia="Times New Roman"/>
        </w:rPr>
        <w:t>e na projektu. Za informaci zpřístupněnou oprávněným se považují i informace zpřístupněné osobami spřízněnými s oprávněným, jako osoby s právním nebo faktickým vztahem k oprávněnému, zejména její společníci, členové volených orgánů, zaměstnanci, poradci, k</w:t>
      </w:r>
      <w:r>
        <w:rPr>
          <w:rFonts w:eastAsia="Times New Roman"/>
        </w:rPr>
        <w:t>onzultanti nebo jiní spolupracovníci.</w:t>
      </w:r>
    </w:p>
    <w:p w14:paraId="596D14C1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II. Důvěrné informace</w:t>
      </w:r>
    </w:p>
    <w:p w14:paraId="48C223F4" w14:textId="77777777" w:rsidR="00000000" w:rsidRDefault="00F371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Pro účely této smlouvy se důvěrnými informacemi rozumí jakékoliv informace o oprávněném, či o jeho obchodní činnosti, které se povinný dozvěděl či je obdržel nebo obdrží, a to v jakékoliv formě. D</w:t>
      </w:r>
      <w:r>
        <w:rPr>
          <w:rFonts w:eastAsia="Times New Roman"/>
        </w:rPr>
        <w:t xml:space="preserve">ůvěrnými informacemi nejsou obecně známé či veřejně </w:t>
      </w:r>
      <w:r>
        <w:rPr>
          <w:rFonts w:eastAsia="Times New Roman"/>
        </w:rPr>
        <w:lastRenderedPageBreak/>
        <w:t>přístupné informace o oprávněném, pokud nebyly zveřejněny protiprávně či v rozporu s touto smlouvou.</w:t>
      </w:r>
    </w:p>
    <w:p w14:paraId="5AEA1A6F" w14:textId="77777777" w:rsidR="00000000" w:rsidRDefault="00F371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Pro vyloučení všech pochybností smluvní strany prohlašují, že důvěrnými informacemi jsou zejména: </w:t>
      </w:r>
    </w:p>
    <w:p w14:paraId="62050983" w14:textId="77777777" w:rsidR="00000000" w:rsidRDefault="00F371B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[dův</w:t>
      </w:r>
      <w:r>
        <w:rPr>
          <w:rFonts w:eastAsia="Times New Roman"/>
        </w:rPr>
        <w:t>ěrá informace 1] ;</w:t>
      </w:r>
    </w:p>
    <w:p w14:paraId="764AC3B9" w14:textId="77777777" w:rsidR="00000000" w:rsidRDefault="00F371B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[důvěrá informace 2] ;</w:t>
      </w:r>
    </w:p>
    <w:p w14:paraId="2D4387F2" w14:textId="77777777" w:rsidR="00000000" w:rsidRDefault="00F371B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[důvěrá informace 3] ;</w:t>
      </w:r>
    </w:p>
    <w:p w14:paraId="12C30C95" w14:textId="77777777" w:rsidR="00000000" w:rsidRDefault="00F371B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[důvěrá informace 4] ;</w:t>
      </w:r>
    </w:p>
    <w:p w14:paraId="5FC67669" w14:textId="77777777" w:rsidR="00000000" w:rsidRDefault="00F371B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[důvěrá informace 5] ;</w:t>
      </w:r>
    </w:p>
    <w:p w14:paraId="5BB98285" w14:textId="77777777" w:rsidR="00000000" w:rsidRDefault="00F371B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[další důvěré informace] .</w:t>
      </w:r>
    </w:p>
    <w:p w14:paraId="76D10320" w14:textId="77777777" w:rsidR="00000000" w:rsidRDefault="00F371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Důvěrnou informací dle této smlouvy není informace, o které oprávněný písemně uvede, že důvěrná není.</w:t>
      </w:r>
    </w:p>
    <w:p w14:paraId="4B71E886" w14:textId="77777777" w:rsidR="00000000" w:rsidRDefault="00F371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Oprávněný není povinen zvlášť upozornit povinného na důvěrnost každé poskytnuté informace. Pokud bude mít povinný pochybnost o povaze informace, jakožto d</w:t>
      </w:r>
      <w:r>
        <w:rPr>
          <w:rFonts w:eastAsia="Times New Roman"/>
        </w:rPr>
        <w:t>ůvěrné, je povinen požádat oprávněného o sdělení, zdali se jedná o důvěrnou informaci. Nepožádá-li oprávněný o toto sdělení, má se v případě pochybností za to, že informace je důvěrná.</w:t>
      </w:r>
    </w:p>
    <w:p w14:paraId="6BF226EE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III. Povinnost mlčenlivosti</w:t>
      </w:r>
    </w:p>
    <w:p w14:paraId="43CC78E3" w14:textId="77777777" w:rsidR="00000000" w:rsidRDefault="00F371B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Povinný nesmí: </w:t>
      </w:r>
    </w:p>
    <w:p w14:paraId="16468332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zpřístupnit důvěrné informa</w:t>
      </w:r>
      <w:r>
        <w:rPr>
          <w:rFonts w:eastAsia="Times New Roman"/>
        </w:rPr>
        <w:t>ce jakékoli třetí osobě, s výjimkou ředitelů, manažerů a/nebo zaměstnanců povinného, kteří potřebují znát důvěrné informace k naplnění účelu, ke kterému byly důvěrné informace povinnému zpřístupněny, v rozsahu, který je k naplnění takového účelu nezbytný (</w:t>
      </w:r>
      <w:r>
        <w:rPr>
          <w:rFonts w:eastAsia="Times New Roman"/>
        </w:rPr>
        <w:t>tyto osoby společně dále jako „</w:t>
      </w:r>
      <w:r>
        <w:rPr>
          <w:rStyle w:val="Siln"/>
          <w:rFonts w:eastAsia="Times New Roman"/>
        </w:rPr>
        <w:t>zaměstnanci</w:t>
      </w:r>
      <w:r>
        <w:rPr>
          <w:rFonts w:eastAsia="Times New Roman"/>
        </w:rPr>
        <w:t>“);</w:t>
      </w:r>
    </w:p>
    <w:p w14:paraId="2A23C9C4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používat důvěrné informace v rámci svého podnikání, investování či jiné činnosti ve svůj prospěch, či v rámci podnikání, investování či jiné činnosti třetí strany či ve prospěch třetí strany.</w:t>
      </w:r>
    </w:p>
    <w:p w14:paraId="3A002B50" w14:textId="77777777" w:rsidR="00000000" w:rsidRDefault="00F371B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Povinný se zavazuj</w:t>
      </w:r>
      <w:r>
        <w:rPr>
          <w:rFonts w:eastAsia="Times New Roman"/>
        </w:rPr>
        <w:t xml:space="preserve">e: </w:t>
      </w:r>
    </w:p>
    <w:p w14:paraId="338A5E00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nezveřejnit důvěrné informace, zachovat o nich mlčenlivost a neumožnit k nim přístup třetím osobám bez předchozího písemného souhlasu oprávněného;</w:t>
      </w:r>
    </w:p>
    <w:p w14:paraId="5E44F9D8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zajistit, aby nedošlo k úniku, zveřejnění a šíření důvěrných informací, a činit veškeré nezbytné kroky k </w:t>
      </w:r>
      <w:r>
        <w:rPr>
          <w:rFonts w:eastAsia="Times New Roman"/>
        </w:rPr>
        <w:t>ochraně důvěrných informací;</w:t>
      </w:r>
    </w:p>
    <w:p w14:paraId="1731B720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používat důvěrné informace výlučně k účelům, k jakým byly oprávněným poskytnuty;</w:t>
      </w:r>
    </w:p>
    <w:p w14:paraId="694B106D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umožnit oprávněnému kontrolu zacházení s důvěrnými informacemi, a to i ve svém sídle či provozovně;</w:t>
      </w:r>
    </w:p>
    <w:p w14:paraId="7FC22293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řídit se pokyny oprávněného k zachování mlčenl</w:t>
      </w:r>
      <w:r>
        <w:rPr>
          <w:rFonts w:eastAsia="Times New Roman"/>
        </w:rPr>
        <w:t>ivosti ohledně důvěryhodných informací;</w:t>
      </w:r>
    </w:p>
    <w:p w14:paraId="55B560B4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informovat oprávněného o jakémkoliv porušení povinnosti mlčenlivosti, a to bezodkladně poté, kdy se povinný o porušení povinnosti mlčenlivosti dozví;</w:t>
      </w:r>
    </w:p>
    <w:p w14:paraId="2A4BCA9C" w14:textId="77777777" w:rsidR="00000000" w:rsidRDefault="00F371B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poučit své zaměstnance o povaze důvěrných informací a o povinnoste</w:t>
      </w:r>
      <w:r>
        <w:rPr>
          <w:rFonts w:eastAsia="Times New Roman"/>
        </w:rPr>
        <w:t>ch, které se s nimi pojí.</w:t>
      </w:r>
    </w:p>
    <w:p w14:paraId="38A887C2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IV. Výjimky ze zákazu povinnosti mlčenlivosti</w:t>
      </w:r>
    </w:p>
    <w:p w14:paraId="346CE316" w14:textId="77777777" w:rsidR="00000000" w:rsidRDefault="00F371B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Omezení podle čl. III. této smlouvy neplatí pro zpřístupnění a/nebo sdělení důvěrných informací vyžadovaných příslušným soudem, správním orgánem či jiným orgánem oprávněným na základě </w:t>
      </w:r>
      <w:r>
        <w:rPr>
          <w:rFonts w:eastAsia="Times New Roman"/>
        </w:rPr>
        <w:t>platného právního předpisu.</w:t>
      </w:r>
    </w:p>
    <w:p w14:paraId="50509304" w14:textId="77777777" w:rsidR="00000000" w:rsidRDefault="00F371B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lastRenderedPageBreak/>
        <w:t>Povinný je oprávněn zpřístupnit a/nebo sdělit důvěrné informace za podmínek předvídaných v předchozím odstavci této smlouvy, pokud o tom v rozsahu povoleném právními předpisy informuje oprávněného a vezme v úvahu následné požada</w:t>
      </w:r>
      <w:r>
        <w:rPr>
          <w:rFonts w:eastAsia="Times New Roman"/>
        </w:rPr>
        <w:t>vky ze strany oprávněného týkající se načasování, obsahu a způsobu takového zpřístupnění a/nebo sdělení.</w:t>
      </w:r>
    </w:p>
    <w:p w14:paraId="3E24D9FE" w14:textId="77777777" w:rsidR="00000000" w:rsidRDefault="00F371B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Povinný je povinen písemně informovat oprávněného bezodkladně poté, co se dozví o tom, že může dojít k realizaci povinnosti zpřístupnit či sdělit infor</w:t>
      </w:r>
      <w:r>
        <w:rPr>
          <w:rFonts w:eastAsia="Times New Roman"/>
        </w:rPr>
        <w:t>mace podle čl. IV. této smlouvy.</w:t>
      </w:r>
    </w:p>
    <w:p w14:paraId="26CBC170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V. Vrácení a zničení důvěrných informací</w:t>
      </w:r>
    </w:p>
    <w:p w14:paraId="71C8A932" w14:textId="77777777" w:rsidR="00000000" w:rsidRDefault="00F371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Pro vyloučení pochybností povinný potvrzuje, že důvěrné informace dle této smlouvy, bez ohledu na způsob a podobu jejich zpřístupnění, zůstávají ve výhradním vlastnictví oprávněného, resp. jejich poskytnutím se nijak nemění rozsah práv oprávněného k důvěrn</w:t>
      </w:r>
      <w:r>
        <w:rPr>
          <w:rFonts w:eastAsia="Times New Roman"/>
        </w:rPr>
        <w:t>ým informacím.</w:t>
      </w:r>
    </w:p>
    <w:p w14:paraId="3A0FD641" w14:textId="77777777" w:rsidR="00000000" w:rsidRDefault="00F371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Neprodleně po písemné výzvě oprávněného, nejpozději do 3 pracovních dnů, po obdržení písemné výzvy, se povinný zavazuje podle instrukcí oprávněného vrátit, zničit nebo trvale vymazat veškeré dokumenty v jakékoli podobě obsahující důvěrné inf</w:t>
      </w:r>
      <w:r>
        <w:rPr>
          <w:rFonts w:eastAsia="Times New Roman"/>
        </w:rPr>
        <w:t xml:space="preserve">ormace, které: </w:t>
      </w:r>
    </w:p>
    <w:p w14:paraId="0C9B5575" w14:textId="77777777" w:rsidR="00000000" w:rsidRDefault="00F371B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povinný získal na základě nebo v souvislosti s touto smlouvou,</w:t>
      </w:r>
    </w:p>
    <w:p w14:paraId="3E2A14D0" w14:textId="77777777" w:rsidR="00000000" w:rsidRDefault="00F371B4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byly vytvořeny povinným a obsahují důvěrné informace,</w:t>
      </w:r>
    </w:p>
    <w:p w14:paraId="6F6D48F3" w14:textId="77777777" w:rsidR="00000000" w:rsidRDefault="00F371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Neprodleně po písemné výzvě oprávněného, nejpozději do 3 pracovních dnů, po obdržení písemné výzvy, se povinný zavazuje zaj</w:t>
      </w:r>
      <w:r>
        <w:rPr>
          <w:rFonts w:eastAsia="Times New Roman"/>
        </w:rPr>
        <w:t>istit, že každý zaměstnanec, který má k dispozici a/nebo vytvořil dokument obsahující důvěrné informace, bude postupovat v souladu s čl. V. odst. 2. této smlouvy.</w:t>
      </w:r>
    </w:p>
    <w:p w14:paraId="4E9486DD" w14:textId="77777777" w:rsidR="00000000" w:rsidRDefault="00F371B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Vrácení, zničení či trvalé vymazání důvěrných informací se povinný zavazuje oprávněnému proká</w:t>
      </w:r>
      <w:r>
        <w:rPr>
          <w:rFonts w:eastAsia="Times New Roman"/>
        </w:rPr>
        <w:t>zat přiměřeným způsobem.</w:t>
      </w:r>
    </w:p>
    <w:p w14:paraId="3306BE67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VI. Sankční ujednání</w:t>
      </w:r>
    </w:p>
    <w:p w14:paraId="24C34166" w14:textId="77777777" w:rsidR="00000000" w:rsidRDefault="00F371B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se dohodly na utvrzení závazků povinného dle této smlouvy prostřednictvím smluvní pokuty.</w:t>
      </w:r>
    </w:p>
    <w:p w14:paraId="71B0A092" w14:textId="77777777" w:rsidR="00000000" w:rsidRDefault="00F371B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Poruší-li povinný jakoukoliv povinnost stanovenou touto Smlouvou v článku III., IV. nebo V., zaplatí oprá</w:t>
      </w:r>
      <w:r>
        <w:rPr>
          <w:rFonts w:eastAsia="Times New Roman"/>
        </w:rPr>
        <w:t>vněnému za každé jednotlivé porušení smluvní pokutu ve výši [výše smluvní pokuty] Kč.</w:t>
      </w:r>
    </w:p>
    <w:p w14:paraId="200CFBEC" w14:textId="77777777" w:rsidR="00000000" w:rsidRDefault="00F371B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pokuta je splatná uplynutím [číslovka splatnost smluvní pokuty] dnů ode dne jejího písemného uplatnění u povinného.</w:t>
      </w:r>
    </w:p>
    <w:p w14:paraId="2D296261" w14:textId="77777777" w:rsidR="00000000" w:rsidRDefault="00F371B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Řádným doručením povinnému je osobní předání, </w:t>
      </w:r>
      <w:r>
        <w:rPr>
          <w:rFonts w:eastAsia="Times New Roman"/>
        </w:rPr>
        <w:t>zaslání prostřednictvím držitele poštovní licence nebo ověřenou elektronickou zprávou na adresu povinného. Dnem doručení se rozumí den přijetí zásilky nebo také den odmítnutí přijetí zásilky.</w:t>
      </w:r>
    </w:p>
    <w:p w14:paraId="27AFEE51" w14:textId="77777777" w:rsidR="00000000" w:rsidRDefault="00F371B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Uplatněním smluvní pokuty není dotčeno právo oprávněného na náhr</w:t>
      </w:r>
      <w:r>
        <w:rPr>
          <w:rFonts w:eastAsia="Times New Roman"/>
        </w:rPr>
        <w:t>adu vzniklé škody. Závazek povinného k zaplacení smluvní pokuty trvá i po zániku této smlouvy.</w:t>
      </w:r>
    </w:p>
    <w:p w14:paraId="2356736B" w14:textId="77777777" w:rsidR="00000000" w:rsidRDefault="00F371B4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VII. Závěrečná ujednání</w:t>
      </w:r>
    </w:p>
    <w:p w14:paraId="4696891E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Každá smluvní strana je povinna nést veškeré náklady a výdaje, které jí vznikly v souvislosti s uzavřením a plněním dle této smlouvy sama</w:t>
      </w:r>
      <w:r>
        <w:rPr>
          <w:rFonts w:eastAsia="Times New Roman"/>
        </w:rPr>
        <w:t>.</w:t>
      </w:r>
    </w:p>
    <w:p w14:paraId="1817150C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 nabývá platnosti a účinnosti dnem jejího podpisu oběma smluvními stranami a je uzavřena na dobu určitou, a to do [datum trvání smlouvy] .</w:t>
      </w:r>
    </w:p>
    <w:p w14:paraId="488F3C55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lastRenderedPageBreak/>
        <w:t>Tato smlouva, jakož i práva a povinnosti vzniklé na základě této smlouvy nebo v souvislosti s ní, se ří</w:t>
      </w:r>
      <w:r>
        <w:rPr>
          <w:rFonts w:eastAsia="Times New Roman"/>
        </w:rPr>
        <w:t>dí právním řádem České republiky, zejména občanským zákoníkem v platném znění.</w:t>
      </w:r>
    </w:p>
    <w:p w14:paraId="3A0A73F4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prohlašují, že pokud se kterékoli ustanovení této smlouvy nebo s ní související ujednání či jakákoli její část ukáží být neplatnými či se neplatnými stanou, neovl</w:t>
      </w:r>
      <w:r>
        <w:rPr>
          <w:rFonts w:eastAsia="Times New Roman"/>
        </w:rPr>
        <w:t>ivní tato skutečnost platnost smlouvy jako takové. V takovém případě se smluvní strany zavazují nahradit neplatné ustanovení ustanovením platným, které se svým účelem nejvíce podobá neplatnému ustanovení.</w:t>
      </w:r>
    </w:p>
    <w:p w14:paraId="3E0F20C5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 je vyhotovena ve dvou (2) stejnopisech</w:t>
      </w:r>
      <w:r>
        <w:rPr>
          <w:rFonts w:eastAsia="Times New Roman"/>
        </w:rPr>
        <w:t>, každý s platností originálu, z nichž každá smluvní strana obdrží po jednom (1) vyhotovení.</w:t>
      </w:r>
    </w:p>
    <w:p w14:paraId="65690A31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Tuto smlouvu lze doplňovat nebo měnit pouze písemnými, číslovanými dodatky, podepsanými oběma smluvními stranami.</w:t>
      </w:r>
    </w:p>
    <w:p w14:paraId="09B8F7D5" w14:textId="77777777" w:rsidR="00000000" w:rsidRDefault="00F371B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</w:t>
      </w:r>
      <w:r>
        <w:rPr>
          <w:rFonts w:eastAsia="Times New Roman"/>
        </w:rPr>
        <w:t>a porozuměly a bezvýhradně s ním souhlasí a na důkaz toho k ní připojují své vlastnoruční podpisy.</w:t>
      </w:r>
    </w:p>
    <w:p w14:paraId="18086DCA" w14:textId="77777777" w:rsidR="00000000" w:rsidRDefault="00F371B4">
      <w:pPr>
        <w:pStyle w:val="Normlnweb"/>
      </w:pPr>
      <w:r>
        <w:t> </w:t>
      </w:r>
    </w:p>
    <w:p w14:paraId="166895D5" w14:textId="77777777" w:rsidR="00000000" w:rsidRDefault="00F371B4">
      <w:pPr>
        <w:pStyle w:val="Normlnweb"/>
      </w:pPr>
      <w:r>
        <w:t xml:space="preserve">V [město podpisu oprávněného] dne [datum podpisu oprávněného] </w:t>
      </w:r>
    </w:p>
    <w:p w14:paraId="4548CFBD" w14:textId="77777777" w:rsidR="00000000" w:rsidRDefault="00F371B4">
      <w:pPr>
        <w:pStyle w:val="Normlnweb"/>
      </w:pPr>
      <w:r>
        <w:t> </w:t>
      </w:r>
    </w:p>
    <w:p w14:paraId="15566AD1" w14:textId="77777777" w:rsidR="00000000" w:rsidRDefault="00F371B4">
      <w:pPr>
        <w:pStyle w:val="Normlnweb"/>
      </w:pPr>
      <w:r>
        <w:t>………………………………………………</w:t>
      </w:r>
    </w:p>
    <w:p w14:paraId="2F4C8FA5" w14:textId="77777777" w:rsidR="00000000" w:rsidRDefault="00F371B4">
      <w:pPr>
        <w:pStyle w:val="Normlnweb"/>
      </w:pPr>
      <w:r>
        <w:t xml:space="preserve">[jméno a příjmení nebo název oprávněného] </w:t>
      </w:r>
      <w:r>
        <w:br/>
        <w:t>[v případě společnosti doplň</w:t>
      </w:r>
      <w:r>
        <w:t xml:space="preserve">te: např. zastoupená Karlem Novákem, jednatelem] </w:t>
      </w:r>
    </w:p>
    <w:p w14:paraId="272F7DDE" w14:textId="77777777" w:rsidR="00000000" w:rsidRDefault="00F371B4">
      <w:pPr>
        <w:pStyle w:val="Normlnweb"/>
      </w:pPr>
      <w:r>
        <w:t> </w:t>
      </w:r>
    </w:p>
    <w:p w14:paraId="63FC67B7" w14:textId="77777777" w:rsidR="00000000" w:rsidRDefault="00F371B4">
      <w:pPr>
        <w:pStyle w:val="Normlnweb"/>
      </w:pPr>
      <w:r>
        <w:t xml:space="preserve">V [město podpisu povinného] dne [datum podpisu povinného] </w:t>
      </w:r>
    </w:p>
    <w:p w14:paraId="6523CEEA" w14:textId="77777777" w:rsidR="00000000" w:rsidRDefault="00F371B4">
      <w:pPr>
        <w:pStyle w:val="Normlnweb"/>
      </w:pPr>
      <w:r>
        <w:t> </w:t>
      </w:r>
    </w:p>
    <w:p w14:paraId="29C5D561" w14:textId="77777777" w:rsidR="00000000" w:rsidRDefault="00F371B4">
      <w:pPr>
        <w:pStyle w:val="Normlnweb"/>
      </w:pPr>
      <w:r>
        <w:t>………………………………………………</w:t>
      </w:r>
    </w:p>
    <w:p w14:paraId="2597B312" w14:textId="77777777" w:rsidR="00000000" w:rsidRDefault="00F371B4">
      <w:pPr>
        <w:pStyle w:val="Normlnweb"/>
      </w:pPr>
      <w:r>
        <w:t xml:space="preserve">[jméno a příjmení nebo název povinného] </w:t>
      </w:r>
      <w:r>
        <w:br/>
        <w:t xml:space="preserve">[v případě společnosti doplňte: např. zastoupená Karlem Novákem, jednatelem] </w:t>
      </w:r>
    </w:p>
    <w:p w14:paraId="47BD824B" w14:textId="77777777" w:rsidR="00000000" w:rsidRDefault="00F371B4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14:paraId="4C3C5F65" w14:textId="77777777" w:rsidR="00000000" w:rsidRDefault="00F371B4">
      <w:pPr>
        <w:pStyle w:val="Normlnweb"/>
      </w:pPr>
      <w:r>
        <w:rPr>
          <w:b/>
          <w:bCs/>
        </w:rPr>
        <w:t>P</w:t>
      </w:r>
      <w:r>
        <w:rPr>
          <w:b/>
          <w:bCs/>
        </w:rPr>
        <w:t>OTŘEBUJETE POMOCI?</w:t>
      </w:r>
      <w:r>
        <w:t xml:space="preserve"> </w:t>
      </w:r>
    </w:p>
    <w:p w14:paraId="432491F7" w14:textId="77777777" w:rsidR="00000000" w:rsidRDefault="00F371B4">
      <w:pPr>
        <w:pStyle w:val="Normlnweb"/>
        <w:rPr>
          <w:color w:val="595959"/>
        </w:rPr>
      </w:pPr>
      <w:r>
        <w:rPr>
          <w:b/>
          <w:bCs/>
          <w:color w:val="595959"/>
        </w:rPr>
        <w:t xml:space="preserve">PORAĎTE SE S </w:t>
      </w:r>
      <w:hyperlink r:id="rId5" w:tgtFrame="_blank" w:history="1">
        <w:r>
          <w:rPr>
            <w:rStyle w:val="Hypertextovodkaz"/>
            <w:b/>
            <w:bCs/>
            <w:color w:val="595959"/>
          </w:rPr>
          <w:t>ADVOKÁTEM</w:t>
        </w:r>
      </w:hyperlink>
      <w:r>
        <w:rPr>
          <w:color w:val="595959"/>
        </w:rPr>
        <w:t xml:space="preserve"> </w:t>
      </w:r>
    </w:p>
    <w:p w14:paraId="6D007643" w14:textId="77777777" w:rsidR="00000000" w:rsidRDefault="00F371B4">
      <w:pPr>
        <w:pStyle w:val="Normlnweb"/>
      </w:pPr>
      <w:r>
        <w:rPr>
          <w:b/>
          <w:bCs/>
        </w:rPr>
        <w:t>CENA ZA KONZULTACI: 450 Kč / 15 min.</w:t>
      </w:r>
      <w:r>
        <w:t xml:space="preserve"> </w:t>
      </w:r>
    </w:p>
    <w:p w14:paraId="45C5D7C2" w14:textId="77777777" w:rsidR="00000000" w:rsidRDefault="00F371B4">
      <w:pPr>
        <w:spacing w:after="240"/>
        <w:rPr>
          <w:rFonts w:eastAsia="Times New Roman"/>
        </w:rPr>
      </w:pPr>
    </w:p>
    <w:p w14:paraId="51F30B36" w14:textId="77777777" w:rsidR="00000000" w:rsidRDefault="00F371B4">
      <w:pPr>
        <w:pStyle w:val="Normlnweb"/>
        <w:rPr>
          <w:color w:val="C40034"/>
        </w:rPr>
      </w:pPr>
      <w:r>
        <w:rPr>
          <w:b/>
          <w:bCs/>
          <w:color w:val="C40034"/>
        </w:rPr>
        <w:lastRenderedPageBreak/>
        <w:t>KDO JSEM?</w:t>
      </w:r>
      <w:r>
        <w:rPr>
          <w:color w:val="C40034"/>
        </w:rPr>
        <w:t xml:space="preserve"> </w:t>
      </w:r>
    </w:p>
    <w:p w14:paraId="7401F95F" w14:textId="77777777" w:rsidR="00000000" w:rsidRDefault="00F371B4">
      <w:pPr>
        <w:pStyle w:val="Normlnweb"/>
      </w:pPr>
      <w:r>
        <w:t>Advokát zapsaný v České advokátní komoře s desetiletou zkušeností v oboru. S více než 200 pětihvězdičko</w:t>
      </w:r>
      <w:r>
        <w:t xml:space="preserve">vými recenzemi </w:t>
      </w:r>
      <w:r>
        <w:rPr>
          <w:color w:val="C40034"/>
        </w:rPr>
        <w:t>jsem nejlépe hodnoceným advokátem na platformách Google a Seznam (Firmy.cz)</w:t>
      </w:r>
      <w:r>
        <w:t xml:space="preserve">. Na zkušenosti těch, kteří mých služeb využili před Vámi, se můžete podívat </w:t>
      </w:r>
      <w:hyperlink r:id="rId6" w:anchor="lrd=0x470b94fca72091ed:0x415aa1c851a2b72,1," w:tgtFrame="_blank" w:history="1">
        <w:r>
          <w:rPr>
            <w:rStyle w:val="Hypertextovodkaz"/>
          </w:rPr>
          <w:t>zde</w:t>
        </w:r>
      </w:hyperlink>
      <w:r>
        <w:t xml:space="preserve"> (Google recenze), </w:t>
      </w:r>
      <w:hyperlink r:id="rId7" w:tgtFrame="_blank" w:history="1">
        <w:r>
          <w:rPr>
            <w:rStyle w:val="Hypertextovodkaz"/>
          </w:rPr>
          <w:t>zde</w:t>
        </w:r>
      </w:hyperlink>
      <w:r>
        <w:t xml:space="preserve"> (Seznam) nebo </w:t>
      </w:r>
      <w:hyperlink r:id="rId8" w:tgtFrame="_blank" w:history="1">
        <w:r>
          <w:rPr>
            <w:rStyle w:val="Hypertextovodkaz"/>
          </w:rPr>
          <w:t>zde</w:t>
        </w:r>
      </w:hyperlink>
      <w:r>
        <w:t xml:space="preserve"> (Facebo</w:t>
      </w:r>
      <w:r>
        <w:t xml:space="preserve">ok). </w:t>
      </w:r>
    </w:p>
    <w:p w14:paraId="0AC89ACA" w14:textId="77777777" w:rsidR="00000000" w:rsidRDefault="00F371B4">
      <w:pPr>
        <w:pStyle w:val="Normlnweb"/>
        <w:rPr>
          <w:color w:val="C40034"/>
        </w:rPr>
      </w:pPr>
      <w:r>
        <w:rPr>
          <w:b/>
          <w:bCs/>
          <w:color w:val="C40034"/>
        </w:rPr>
        <w:t>KONTAKTUJTE MNE IHNED</w:t>
      </w:r>
      <w:r>
        <w:rPr>
          <w:color w:val="C40034"/>
        </w:rPr>
        <w:t xml:space="preserve"> </w:t>
      </w:r>
    </w:p>
    <w:p w14:paraId="4CE6F2CD" w14:textId="77777777" w:rsidR="00000000" w:rsidRDefault="00F371B4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tel: </w:t>
      </w:r>
      <w:r>
        <w:rPr>
          <w:rFonts w:eastAsia="Times New Roman"/>
          <w:b/>
          <w:bCs/>
        </w:rPr>
        <w:t>604 99 11 88</w:t>
      </w:r>
      <w:r>
        <w:rPr>
          <w:rFonts w:eastAsia="Times New Roman"/>
        </w:rPr>
        <w:t xml:space="preserve"> (Po-Pá 9-17 hod.) </w:t>
      </w:r>
    </w:p>
    <w:p w14:paraId="52FD7DE2" w14:textId="77777777" w:rsidR="00000000" w:rsidRDefault="00F371B4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email: </w:t>
      </w:r>
      <w:hyperlink r:id="rId9" w:history="1">
        <w:r>
          <w:rPr>
            <w:rStyle w:val="Hypertextovodkaz"/>
            <w:rFonts w:eastAsia="Times New Roman"/>
          </w:rPr>
          <w:t>adam@tosovsky-advokat.cz</w:t>
        </w:r>
      </w:hyperlink>
      <w:r>
        <w:rPr>
          <w:rFonts w:eastAsia="Times New Roman"/>
        </w:rPr>
        <w:t xml:space="preserve"> </w:t>
      </w:r>
    </w:p>
    <w:p w14:paraId="61D33804" w14:textId="77777777" w:rsidR="00000000" w:rsidRDefault="00F371B4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kancelář: Říční 10, Praha 1–Malá Strana </w:t>
      </w:r>
    </w:p>
    <w:p w14:paraId="7F18E763" w14:textId="77777777" w:rsidR="00F371B4" w:rsidRDefault="00F371B4">
      <w:pPr>
        <w:pStyle w:val="Normlnweb"/>
      </w:pPr>
      <w:r>
        <w:rPr>
          <w:b/>
          <w:bCs/>
        </w:rPr>
        <w:t>Mgr. Adam Tošovský</w:t>
      </w:r>
      <w:r>
        <w:t xml:space="preserve">, </w:t>
      </w:r>
      <w:r>
        <w:br/>
        <w:t xml:space="preserve">advokát, č. ev. ČAK 16445 </w:t>
      </w:r>
      <w:r>
        <w:br/>
      </w:r>
      <w:hyperlink r:id="rId10" w:tgtFrame="_blank" w:history="1">
        <w:r>
          <w:rPr>
            <w:rStyle w:val="Hypertextovodkaz"/>
          </w:rPr>
          <w:t>www.tosovsky-advokat.cz</w:t>
        </w:r>
      </w:hyperlink>
      <w:r>
        <w:t xml:space="preserve"> </w:t>
      </w:r>
    </w:p>
    <w:sectPr w:rsidR="00F3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6FAC"/>
    <w:multiLevelType w:val="multilevel"/>
    <w:tmpl w:val="D028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56F05"/>
    <w:multiLevelType w:val="multilevel"/>
    <w:tmpl w:val="DD84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B5C36"/>
    <w:multiLevelType w:val="multilevel"/>
    <w:tmpl w:val="9DD8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8361D"/>
    <w:multiLevelType w:val="multilevel"/>
    <w:tmpl w:val="8BC4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B496A"/>
    <w:multiLevelType w:val="multilevel"/>
    <w:tmpl w:val="45EA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46D48"/>
    <w:multiLevelType w:val="multilevel"/>
    <w:tmpl w:val="649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22567"/>
    <w:multiLevelType w:val="multilevel"/>
    <w:tmpl w:val="32DC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13304"/>
    <w:multiLevelType w:val="multilevel"/>
    <w:tmpl w:val="DA0A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5C"/>
    <w:rsid w:val="0015765C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CA6D6"/>
  <w15:chartTrackingRefBased/>
  <w15:docId w15:val="{9D4994D3-EC6E-47F4-A037-CF941E37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0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g/adamtosovskyadvokatnikancelar/reviews/?ref=page_inte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rmy.cz/detail/12981073-mgr-adam-tosovsky-advokat-praha-mala-stran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de/search?q=adam+to%C5%A1ovsk%C3%BD&amp;oq=adam+to&amp;aqs=chrome.0.69i59j69i60j69i61j69i60j69i57j0.2310j0j7&amp;sourceid=chrome&amp;ie=UTF-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sovsky-advokat.cz/" TargetMode="External"/><Relationship Id="rId10" Type="http://schemas.openxmlformats.org/officeDocument/2006/relationships/hyperlink" Target="https://tosovsky-advoka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m@tosovsky-advoka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Ptáček</dc:creator>
  <cp:keywords/>
  <dc:description/>
  <cp:lastModifiedBy>David Ptáček</cp:lastModifiedBy>
  <cp:revision>2</cp:revision>
  <dcterms:created xsi:type="dcterms:W3CDTF">2020-09-24T12:44:00Z</dcterms:created>
  <dcterms:modified xsi:type="dcterms:W3CDTF">2020-09-24T12:44:00Z</dcterms:modified>
</cp:coreProperties>
</file>